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9AC" w:rsidRPr="002C0899" w:rsidRDefault="000149AC" w:rsidP="000149AC">
      <w:pPr>
        <w:spacing w:line="480" w:lineRule="auto"/>
        <w:ind w:firstLine="720"/>
      </w:pPr>
      <w:r>
        <w:t>As an aspiring clarinetist</w:t>
      </w:r>
      <w:r w:rsidRPr="002C0899">
        <w:t xml:space="preserve"> with a fascination for all types of clarinets or auxiliary clarinets, it would be imperative to study and research about the clarinet’s history including its close relative, the basset horn.  As a relatively young instrument to the orchestra, the clarinet began its development around the later part of the 18</w:t>
      </w:r>
      <w:r w:rsidRPr="002C0899">
        <w:rPr>
          <w:vertAlign w:val="superscript"/>
        </w:rPr>
        <w:t>th</w:t>
      </w:r>
      <w:r w:rsidRPr="002C0899">
        <w:t xml:space="preserve"> century.  Early in its development, instrument makers would create and experiment with different shapes and sizes.  As developers wanted bigger instruments, the technological inadequacies of the time </w:t>
      </w:r>
      <w:r>
        <w:t xml:space="preserve">influenced the </w:t>
      </w:r>
      <w:r w:rsidRPr="002C0899">
        <w:t xml:space="preserve">designs of </w:t>
      </w:r>
      <w:r>
        <w:t xml:space="preserve">the </w:t>
      </w:r>
      <w:r w:rsidRPr="002C0899">
        <w:t>larger clarinets, then called basset horns. Mozart</w:t>
      </w:r>
      <w:r>
        <w:t>,</w:t>
      </w:r>
      <w:r w:rsidRPr="002C0899">
        <w:t xml:space="preserve"> an influential and important composer</w:t>
      </w:r>
      <w:r>
        <w:t>, first heard clarinets most likely</w:t>
      </w:r>
      <w:r w:rsidRPr="002C0899">
        <w:t xml:space="preserve"> during his stay in London in 1764, in Milan </w:t>
      </w:r>
      <w:r>
        <w:t xml:space="preserve">in </w:t>
      </w:r>
      <w:r w:rsidRPr="002C0899">
        <w:t xml:space="preserve">1771, and Mannheim in 1777, but not </w:t>
      </w:r>
      <w:r>
        <w:t xml:space="preserve">in </w:t>
      </w:r>
      <w:r w:rsidRPr="002C0899">
        <w:t>Salzburg because there were none in his home city.</w:t>
      </w:r>
      <w:r w:rsidRPr="002C0899">
        <w:rPr>
          <w:rStyle w:val="FootnoteReference"/>
        </w:rPr>
        <w:footnoteReference w:id="1"/>
      </w:r>
      <w:r w:rsidRPr="002C0899">
        <w:t xml:space="preserve"> After hearing and discovering several virtuosi performing on the clarinet, the basset horn, and basset clarinet, Mozart became highly motivated and inspired to write numerous works involving these instruments.  This project attempts to discuss and review all of the works that Mozart composed utilizing the basset horn and</w:t>
      </w:r>
      <w:r>
        <w:t xml:space="preserve"> the</w:t>
      </w:r>
      <w:r w:rsidRPr="002C0899">
        <w:t xml:space="preserve"> basset clarinet.</w:t>
      </w:r>
    </w:p>
    <w:p w:rsidR="00F3500E" w:rsidRDefault="00F3500E">
      <w:pPr>
        <w:pBdr>
          <w:bottom w:val="single" w:sz="6" w:space="1" w:color="auto"/>
        </w:pBdr>
      </w:pPr>
    </w:p>
    <w:p w:rsidR="000149AC" w:rsidRDefault="000149AC">
      <w:r>
        <w:softHyphen/>
      </w:r>
      <w:r>
        <w:softHyphen/>
      </w:r>
      <w:r>
        <w:softHyphen/>
      </w:r>
    </w:p>
    <w:p w:rsidR="000149AC" w:rsidRDefault="000149AC" w:rsidP="000149AC">
      <w:pPr>
        <w:spacing w:line="480" w:lineRule="auto"/>
      </w:pPr>
    </w:p>
    <w:p w:rsidR="000149AC" w:rsidRDefault="000149AC" w:rsidP="000149AC">
      <w:pPr>
        <w:spacing w:line="480" w:lineRule="auto"/>
      </w:pPr>
    </w:p>
    <w:p w:rsidR="000149AC" w:rsidRDefault="000149AC" w:rsidP="000149AC">
      <w:pPr>
        <w:spacing w:line="480" w:lineRule="auto"/>
      </w:pPr>
    </w:p>
    <w:p w:rsidR="000149AC" w:rsidRDefault="000149AC" w:rsidP="000149AC">
      <w:pPr>
        <w:spacing w:line="480" w:lineRule="auto"/>
      </w:pPr>
    </w:p>
    <w:p w:rsidR="000149AC" w:rsidRDefault="000149AC" w:rsidP="000149AC">
      <w:pPr>
        <w:spacing w:line="480" w:lineRule="auto"/>
      </w:pPr>
    </w:p>
    <w:p w:rsidR="000149AC" w:rsidRDefault="000149AC" w:rsidP="000149AC">
      <w:pPr>
        <w:spacing w:line="480" w:lineRule="auto"/>
      </w:pPr>
    </w:p>
    <w:p w:rsidR="000149AC" w:rsidRPr="002C0899" w:rsidRDefault="000149AC" w:rsidP="000149AC">
      <w:pPr>
        <w:spacing w:line="480" w:lineRule="auto"/>
        <w:rPr>
          <w:szCs w:val="20"/>
        </w:rPr>
      </w:pPr>
      <w:r w:rsidRPr="002C0899">
        <w:lastRenderedPageBreak/>
        <w:t>K. 361 (370a)</w:t>
      </w:r>
      <w:r w:rsidRPr="002C0899">
        <w:tab/>
      </w:r>
      <w:r w:rsidRPr="002C0899">
        <w:tab/>
      </w:r>
      <w:r>
        <w:tab/>
      </w:r>
      <w:r>
        <w:tab/>
      </w:r>
      <w:r w:rsidRPr="004313C6">
        <w:rPr>
          <w:i/>
          <w:szCs w:val="20"/>
        </w:rPr>
        <w:t>Serenade 'Gran Partita’</w:t>
      </w:r>
      <w:r w:rsidRPr="002C0899">
        <w:rPr>
          <w:rStyle w:val="FootnoteReference"/>
          <w:szCs w:val="20"/>
        </w:rPr>
        <w:footnoteReference w:id="2"/>
      </w:r>
    </w:p>
    <w:p w:rsidR="000149AC" w:rsidRPr="002C0899" w:rsidRDefault="000149AC" w:rsidP="000149AC">
      <w:pPr>
        <w:pStyle w:val="ListParagraph"/>
        <w:numPr>
          <w:ilvl w:val="0"/>
          <w:numId w:val="1"/>
        </w:numPr>
        <w:spacing w:line="480" w:lineRule="auto"/>
        <w:rPr>
          <w:szCs w:val="20"/>
        </w:rPr>
      </w:pPr>
      <w:r w:rsidRPr="002C0899">
        <w:rPr>
          <w:szCs w:val="20"/>
        </w:rPr>
        <w:t>AMA: IX/Sec. 1/No. 12, p. 399 [R23]</w:t>
      </w:r>
    </w:p>
    <w:p w:rsidR="000149AC" w:rsidRPr="002C0899" w:rsidRDefault="000149AC" w:rsidP="000149AC">
      <w:pPr>
        <w:pStyle w:val="ListParagraph"/>
        <w:numPr>
          <w:ilvl w:val="0"/>
          <w:numId w:val="1"/>
        </w:numPr>
        <w:spacing w:line="480" w:lineRule="auto"/>
        <w:rPr>
          <w:szCs w:val="20"/>
        </w:rPr>
      </w:pPr>
      <w:r w:rsidRPr="002C0899">
        <w:rPr>
          <w:szCs w:val="20"/>
        </w:rPr>
        <w:t>NMA: VII/17/2, p. 141 [</w:t>
      </w:r>
      <w:proofErr w:type="spellStart"/>
      <w:r w:rsidRPr="002C0899">
        <w:rPr>
          <w:szCs w:val="20"/>
        </w:rPr>
        <w:t>Pb</w:t>
      </w:r>
      <w:proofErr w:type="spellEnd"/>
      <w:r w:rsidRPr="002C0899">
        <w:rPr>
          <w:szCs w:val="20"/>
        </w:rPr>
        <w:t xml:space="preserve"> 17] BA 5331; TP 312</w:t>
      </w:r>
    </w:p>
    <w:p w:rsidR="000149AC" w:rsidRDefault="000149AC" w:rsidP="000149AC">
      <w:pPr>
        <w:pStyle w:val="Caption"/>
        <w:keepNext/>
      </w:pPr>
    </w:p>
    <w:p w:rsidR="000149AC" w:rsidRPr="00235E3B" w:rsidRDefault="000149AC" w:rsidP="000149AC">
      <w:pPr>
        <w:pStyle w:val="Caption"/>
        <w:keepNext/>
      </w:pPr>
      <w:r>
        <w:t xml:space="preserve">Example </w:t>
      </w:r>
      <w:r>
        <w:fldChar w:fldCharType="begin"/>
      </w:r>
      <w:r>
        <w:instrText xml:space="preserve"> SEQ Example \* ARABIC </w:instrText>
      </w:r>
      <w:r>
        <w:fldChar w:fldCharType="separate"/>
      </w:r>
      <w:r>
        <w:rPr>
          <w:noProof/>
        </w:rPr>
        <w:t>1</w:t>
      </w:r>
      <w:r>
        <w:fldChar w:fldCharType="end"/>
      </w:r>
      <w:r>
        <w:t>:</w:t>
      </w:r>
      <w:r w:rsidRPr="00235E3B">
        <w:rPr>
          <w:szCs w:val="20"/>
        </w:rPr>
        <w:t xml:space="preserve"> </w:t>
      </w:r>
      <w:r>
        <w:rPr>
          <w:szCs w:val="20"/>
        </w:rPr>
        <w:t xml:space="preserve">K. 361, Movement 1, </w:t>
      </w:r>
      <w:proofErr w:type="gramStart"/>
      <w:r>
        <w:rPr>
          <w:szCs w:val="20"/>
        </w:rPr>
        <w:t>mm</w:t>
      </w:r>
      <w:proofErr w:type="gramEnd"/>
      <w:r>
        <w:rPr>
          <w:szCs w:val="20"/>
        </w:rPr>
        <w:t>. 1-3</w:t>
      </w:r>
      <w:r w:rsidRPr="002C0899">
        <w:rPr>
          <w:rStyle w:val="FootnoteReference"/>
          <w:szCs w:val="20"/>
        </w:rPr>
        <w:footnoteReference w:id="3"/>
      </w:r>
    </w:p>
    <w:p w:rsidR="000149AC" w:rsidRPr="002C0899" w:rsidRDefault="000149AC" w:rsidP="000149AC">
      <w:pPr>
        <w:spacing w:line="480" w:lineRule="auto"/>
        <w:rPr>
          <w:szCs w:val="20"/>
        </w:rPr>
      </w:pPr>
      <w:r>
        <w:rPr>
          <w:noProof/>
          <w:szCs w:val="20"/>
        </w:rPr>
        <w:drawing>
          <wp:inline distT="0" distB="0" distL="0" distR="0">
            <wp:extent cx="4084320" cy="3799840"/>
            <wp:effectExtent l="0" t="0" r="5080" b="1016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4320" cy="3799840"/>
                    </a:xfrm>
                    <a:prstGeom prst="rect">
                      <a:avLst/>
                    </a:prstGeom>
                    <a:noFill/>
                    <a:ln>
                      <a:noFill/>
                    </a:ln>
                  </pic:spPr>
                </pic:pic>
              </a:graphicData>
            </a:graphic>
          </wp:inline>
        </w:drawing>
      </w:r>
    </w:p>
    <w:p w:rsidR="000149AC" w:rsidRDefault="000149AC" w:rsidP="000149AC">
      <w:pPr>
        <w:spacing w:line="480" w:lineRule="auto"/>
        <w:rPr>
          <w:szCs w:val="20"/>
        </w:rPr>
      </w:pPr>
    </w:p>
    <w:p w:rsidR="000149AC" w:rsidRDefault="000149AC" w:rsidP="000149AC">
      <w:pPr>
        <w:spacing w:line="480" w:lineRule="auto"/>
        <w:rPr>
          <w:szCs w:val="20"/>
        </w:rPr>
      </w:pPr>
    </w:p>
    <w:p w:rsidR="000149AC" w:rsidRDefault="000149AC" w:rsidP="000149AC">
      <w:pPr>
        <w:spacing w:line="480" w:lineRule="auto"/>
        <w:rPr>
          <w:szCs w:val="20"/>
        </w:rPr>
      </w:pPr>
    </w:p>
    <w:p w:rsidR="000149AC" w:rsidRDefault="000149AC" w:rsidP="000149AC">
      <w:pPr>
        <w:spacing w:line="480" w:lineRule="auto"/>
        <w:rPr>
          <w:szCs w:val="20"/>
        </w:rPr>
      </w:pPr>
    </w:p>
    <w:p w:rsidR="000149AC" w:rsidRDefault="000149AC" w:rsidP="000149AC">
      <w:pPr>
        <w:spacing w:line="480" w:lineRule="auto"/>
        <w:rPr>
          <w:szCs w:val="20"/>
        </w:rPr>
      </w:pPr>
    </w:p>
    <w:p w:rsidR="000149AC" w:rsidRDefault="000149AC" w:rsidP="000149AC">
      <w:pPr>
        <w:spacing w:line="480" w:lineRule="auto"/>
        <w:rPr>
          <w:szCs w:val="20"/>
        </w:rPr>
      </w:pPr>
    </w:p>
    <w:p w:rsidR="000149AC" w:rsidRPr="00235E3B" w:rsidRDefault="000149AC" w:rsidP="000149AC">
      <w:pPr>
        <w:pStyle w:val="Caption"/>
        <w:keepNext/>
      </w:pPr>
      <w:r>
        <w:t xml:space="preserve">Example </w:t>
      </w:r>
      <w:r>
        <w:fldChar w:fldCharType="begin"/>
      </w:r>
      <w:r>
        <w:instrText xml:space="preserve"> SEQ Example \* ARABIC </w:instrText>
      </w:r>
      <w:r>
        <w:fldChar w:fldCharType="separate"/>
      </w:r>
      <w:r>
        <w:rPr>
          <w:noProof/>
        </w:rPr>
        <w:t>2</w:t>
      </w:r>
      <w:r>
        <w:fldChar w:fldCharType="end"/>
      </w:r>
      <w:r>
        <w:rPr>
          <w:szCs w:val="20"/>
        </w:rPr>
        <w:t xml:space="preserve">: K. 361 Movement 2, </w:t>
      </w:r>
      <w:proofErr w:type="spellStart"/>
      <w:r w:rsidRPr="002C0899">
        <w:rPr>
          <w:szCs w:val="20"/>
        </w:rPr>
        <w:t>Menuetto</w:t>
      </w:r>
      <w:proofErr w:type="spellEnd"/>
      <w:r w:rsidRPr="002C0899">
        <w:rPr>
          <w:szCs w:val="20"/>
        </w:rPr>
        <w:t>: Trio 1</w:t>
      </w:r>
      <w:r w:rsidRPr="002C0899">
        <w:rPr>
          <w:rStyle w:val="FootnoteReference"/>
          <w:szCs w:val="20"/>
        </w:rPr>
        <w:footnoteReference w:id="4"/>
      </w:r>
    </w:p>
    <w:p w:rsidR="000149AC" w:rsidRPr="002C0899" w:rsidRDefault="000149AC" w:rsidP="000149AC">
      <w:pPr>
        <w:spacing w:line="480" w:lineRule="auto"/>
        <w:rPr>
          <w:szCs w:val="20"/>
        </w:rPr>
      </w:pPr>
      <w:r>
        <w:rPr>
          <w:noProof/>
          <w:szCs w:val="20"/>
        </w:rPr>
        <w:drawing>
          <wp:inline distT="0" distB="0" distL="0" distR="0">
            <wp:extent cx="4094480" cy="1178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4480" cy="1178560"/>
                    </a:xfrm>
                    <a:prstGeom prst="rect">
                      <a:avLst/>
                    </a:prstGeom>
                    <a:noFill/>
                    <a:ln>
                      <a:noFill/>
                    </a:ln>
                  </pic:spPr>
                </pic:pic>
              </a:graphicData>
            </a:graphic>
          </wp:inline>
        </w:drawing>
      </w:r>
    </w:p>
    <w:p w:rsidR="000149AC" w:rsidRPr="002C0899" w:rsidRDefault="000149AC" w:rsidP="000149AC">
      <w:pPr>
        <w:spacing w:line="480" w:lineRule="auto"/>
      </w:pPr>
    </w:p>
    <w:p w:rsidR="000149AC" w:rsidRPr="002C0899" w:rsidRDefault="000149AC" w:rsidP="000149AC">
      <w:pPr>
        <w:spacing w:line="480" w:lineRule="auto"/>
      </w:pPr>
      <w:r w:rsidRPr="002C0899">
        <w:t>1</w:t>
      </w:r>
      <w:r w:rsidRPr="002C0899">
        <w:rPr>
          <w:vertAlign w:val="superscript"/>
        </w:rPr>
        <w:t>st</w:t>
      </w:r>
      <w:r w:rsidRPr="002C0899">
        <w:t xml:space="preserve"> Movement: Largo-Molto allegro</w:t>
      </w:r>
    </w:p>
    <w:p w:rsidR="000149AC" w:rsidRPr="002C0899" w:rsidRDefault="000149AC" w:rsidP="000149AC">
      <w:pPr>
        <w:spacing w:line="480" w:lineRule="auto"/>
      </w:pPr>
      <w:r w:rsidRPr="002C0899">
        <w:t>2</w:t>
      </w:r>
      <w:r w:rsidRPr="002C0899">
        <w:rPr>
          <w:vertAlign w:val="superscript"/>
        </w:rPr>
        <w:t>nd</w:t>
      </w:r>
      <w:r w:rsidRPr="002C0899">
        <w:t xml:space="preserve"> Movement: </w:t>
      </w:r>
      <w:proofErr w:type="spellStart"/>
      <w:r w:rsidRPr="002C0899">
        <w:t>Menuetto</w:t>
      </w:r>
      <w:proofErr w:type="spellEnd"/>
    </w:p>
    <w:p w:rsidR="000149AC" w:rsidRPr="002C0899" w:rsidRDefault="000149AC" w:rsidP="000149AC">
      <w:pPr>
        <w:spacing w:line="480" w:lineRule="auto"/>
      </w:pPr>
      <w:r w:rsidRPr="002C0899">
        <w:t>3</w:t>
      </w:r>
      <w:r w:rsidRPr="002C0899">
        <w:rPr>
          <w:vertAlign w:val="superscript"/>
        </w:rPr>
        <w:t>rd</w:t>
      </w:r>
      <w:r w:rsidRPr="002C0899">
        <w:t xml:space="preserve"> Movement: Adagio</w:t>
      </w:r>
    </w:p>
    <w:p w:rsidR="000149AC" w:rsidRPr="002C0899" w:rsidRDefault="000149AC" w:rsidP="000149AC">
      <w:pPr>
        <w:spacing w:line="480" w:lineRule="auto"/>
      </w:pPr>
      <w:r w:rsidRPr="002C0899">
        <w:t>4</w:t>
      </w:r>
      <w:r w:rsidRPr="002C0899">
        <w:rPr>
          <w:vertAlign w:val="superscript"/>
        </w:rPr>
        <w:t>th</w:t>
      </w:r>
      <w:r w:rsidRPr="002C0899">
        <w:t xml:space="preserve"> Movement: </w:t>
      </w:r>
      <w:proofErr w:type="spellStart"/>
      <w:r w:rsidRPr="002C0899">
        <w:t>Menuetto</w:t>
      </w:r>
      <w:proofErr w:type="spellEnd"/>
      <w:r w:rsidRPr="002C0899">
        <w:t xml:space="preserve">; Allegretto   </w:t>
      </w:r>
    </w:p>
    <w:p w:rsidR="000149AC" w:rsidRPr="002C0899" w:rsidRDefault="000149AC" w:rsidP="000149AC">
      <w:pPr>
        <w:spacing w:line="480" w:lineRule="auto"/>
      </w:pPr>
      <w:r w:rsidRPr="002C0899">
        <w:t>5</w:t>
      </w:r>
      <w:r w:rsidRPr="002C0899">
        <w:rPr>
          <w:vertAlign w:val="superscript"/>
        </w:rPr>
        <w:t>th</w:t>
      </w:r>
      <w:r w:rsidRPr="002C0899">
        <w:t xml:space="preserve"> Movement: Romance; Adagio-Allegretto-Adagio</w:t>
      </w:r>
    </w:p>
    <w:p w:rsidR="000149AC" w:rsidRPr="002C0899" w:rsidRDefault="000149AC" w:rsidP="000149AC">
      <w:pPr>
        <w:spacing w:line="480" w:lineRule="auto"/>
      </w:pPr>
      <w:r w:rsidRPr="002C0899">
        <w:t>6</w:t>
      </w:r>
      <w:r w:rsidRPr="002C0899">
        <w:rPr>
          <w:vertAlign w:val="superscript"/>
        </w:rPr>
        <w:t>th</w:t>
      </w:r>
      <w:r w:rsidRPr="002C0899">
        <w:t xml:space="preserve"> Movement:</w:t>
      </w:r>
      <w:r>
        <w:t xml:space="preserve"> </w:t>
      </w:r>
      <w:proofErr w:type="spellStart"/>
      <w:r w:rsidRPr="002C0899">
        <w:t>Tema</w:t>
      </w:r>
      <w:proofErr w:type="spellEnd"/>
      <w:r w:rsidRPr="002C0899">
        <w:t xml:space="preserve"> con </w:t>
      </w:r>
      <w:proofErr w:type="spellStart"/>
      <w:r w:rsidRPr="002C0899">
        <w:t>Variazioni</w:t>
      </w:r>
      <w:proofErr w:type="spellEnd"/>
      <w:r w:rsidRPr="002C0899">
        <w:t>;</w:t>
      </w:r>
      <w:r>
        <w:t xml:space="preserve"> A</w:t>
      </w:r>
      <w:r w:rsidRPr="002C0899">
        <w:t xml:space="preserve">ndante </w:t>
      </w:r>
    </w:p>
    <w:p w:rsidR="000149AC" w:rsidRPr="002C0899" w:rsidRDefault="000149AC" w:rsidP="000149AC">
      <w:pPr>
        <w:spacing w:line="480" w:lineRule="auto"/>
      </w:pPr>
      <w:r w:rsidRPr="002C0899">
        <w:t>7</w:t>
      </w:r>
      <w:r w:rsidRPr="002C0899">
        <w:rPr>
          <w:vertAlign w:val="superscript"/>
        </w:rPr>
        <w:t>th</w:t>
      </w:r>
      <w:r w:rsidRPr="002C0899">
        <w:t xml:space="preserve"> Movement: Finale;</w:t>
      </w:r>
      <w:r>
        <w:t xml:space="preserve"> M</w:t>
      </w:r>
      <w:r w:rsidRPr="002C0899">
        <w:t>olto allegro</w:t>
      </w:r>
    </w:p>
    <w:p w:rsidR="000149AC" w:rsidRPr="002C0899" w:rsidRDefault="000149AC" w:rsidP="000149AC">
      <w:pPr>
        <w:spacing w:line="480" w:lineRule="auto"/>
      </w:pPr>
    </w:p>
    <w:p w:rsidR="000149AC" w:rsidRPr="002C0899" w:rsidRDefault="000149AC" w:rsidP="000149AC">
      <w:pPr>
        <w:spacing w:line="480" w:lineRule="auto"/>
        <w:ind w:firstLine="720"/>
      </w:pPr>
      <w:r w:rsidRPr="002C0899">
        <w:t>Mozart’s K. 361 or K.</w:t>
      </w:r>
      <w:r w:rsidRPr="002C0899">
        <w:rPr>
          <w:vertAlign w:val="superscript"/>
        </w:rPr>
        <w:t>3</w:t>
      </w:r>
      <w:r w:rsidRPr="002C0899">
        <w:t xml:space="preserve"> 370a is a seven-movement</w:t>
      </w:r>
      <w:r>
        <w:t xml:space="preserve"> serenade, or sometimes referred to as a “</w:t>
      </w:r>
      <w:proofErr w:type="spellStart"/>
      <w:r>
        <w:rPr>
          <w:i/>
        </w:rPr>
        <w:t>Harmonie</w:t>
      </w:r>
      <w:proofErr w:type="spellEnd"/>
      <w:r>
        <w:rPr>
          <w:i/>
        </w:rPr>
        <w:t xml:space="preserve"> </w:t>
      </w:r>
      <w:r>
        <w:t>ensemble”</w:t>
      </w:r>
      <w:r>
        <w:rPr>
          <w:rStyle w:val="FootnoteReference"/>
        </w:rPr>
        <w:footnoteReference w:id="5"/>
      </w:r>
      <w:r w:rsidRPr="002C0899">
        <w:t xml:space="preserve"> </w:t>
      </w:r>
      <w:r>
        <w:t xml:space="preserve">or </w:t>
      </w:r>
      <w:proofErr w:type="spellStart"/>
      <w:r w:rsidRPr="00680980">
        <w:rPr>
          <w:i/>
        </w:rPr>
        <w:t>Harmoniemusik</w:t>
      </w:r>
      <w:proofErr w:type="spellEnd"/>
      <w:r>
        <w:rPr>
          <w:rStyle w:val="FootnoteReference"/>
          <w:i/>
        </w:rPr>
        <w:footnoteReference w:id="6"/>
      </w:r>
      <w:r>
        <w:t xml:space="preserve">, and is </w:t>
      </w:r>
      <w:r w:rsidRPr="002C0899">
        <w:t xml:space="preserve">in </w:t>
      </w:r>
      <w:r w:rsidRPr="00001A95">
        <w:t>B-flat</w:t>
      </w:r>
      <w:r>
        <w:t>-</w:t>
      </w:r>
      <w:r w:rsidRPr="002C0899">
        <w:t>major for wind ensemble containing two oboes, two clarinets, two basset horns, four horns, two bassoons, and a double bass</w:t>
      </w:r>
      <w:r>
        <w:rPr>
          <w:rStyle w:val="FootnoteReference"/>
        </w:rPr>
        <w:footnoteReference w:id="7"/>
      </w:r>
      <w:r w:rsidRPr="002C0899">
        <w:t>. The extra basset horns, horns, and double bass were an unusual addition to the normal eight-member chamber wind ensemble.</w:t>
      </w:r>
      <w:r w:rsidRPr="002C0899">
        <w:rPr>
          <w:rStyle w:val="FootnoteReference"/>
        </w:rPr>
        <w:footnoteReference w:id="8"/>
      </w:r>
      <w:r>
        <w:t xml:space="preserve">  This</w:t>
      </w:r>
      <w:r w:rsidRPr="002C0899">
        <w:t xml:space="preserve"> work is often performed nowadays </w:t>
      </w:r>
      <w:r>
        <w:t>with a contra</w:t>
      </w:r>
      <w:r w:rsidRPr="002C0899">
        <w:t>bassoon instead of a double bass.</w:t>
      </w:r>
      <w:r w:rsidRPr="002C0899">
        <w:rPr>
          <w:rStyle w:val="FootnoteReference"/>
        </w:rPr>
        <w:footnoteReference w:id="9"/>
      </w:r>
    </w:p>
    <w:p w:rsidR="000149AC" w:rsidRPr="002C0899" w:rsidRDefault="000149AC" w:rsidP="000149AC">
      <w:pPr>
        <w:spacing w:line="480" w:lineRule="auto"/>
        <w:ind w:firstLine="720"/>
      </w:pPr>
      <w:r w:rsidRPr="002C0899">
        <w:t xml:space="preserve">It is often </w:t>
      </w:r>
      <w:r>
        <w:t xml:space="preserve">called </w:t>
      </w:r>
      <w:r w:rsidRPr="00836F72">
        <w:t xml:space="preserve"> “</w:t>
      </w:r>
      <w:r w:rsidRPr="00836F72">
        <w:rPr>
          <w:i/>
        </w:rPr>
        <w:t xml:space="preserve">gran </w:t>
      </w:r>
      <w:proofErr w:type="spellStart"/>
      <w:r w:rsidRPr="00836F72">
        <w:rPr>
          <w:i/>
        </w:rPr>
        <w:t>Partitta</w:t>
      </w:r>
      <w:proofErr w:type="spellEnd"/>
      <w:r w:rsidRPr="00836F72">
        <w:rPr>
          <w:i/>
        </w:rPr>
        <w:t>”</w:t>
      </w:r>
      <w:r>
        <w:t xml:space="preserve"> which is written on the manuscript, or the “</w:t>
      </w:r>
      <w:r w:rsidRPr="00836F72">
        <w:rPr>
          <w:i/>
        </w:rPr>
        <w:t>Grand Partita</w:t>
      </w:r>
      <w:r>
        <w:rPr>
          <w:i/>
        </w:rPr>
        <w:t>”</w:t>
      </w:r>
      <w:r>
        <w:t xml:space="preserve"> or “</w:t>
      </w:r>
      <w:r w:rsidRPr="00836F72">
        <w:rPr>
          <w:i/>
        </w:rPr>
        <w:t>Gran Partita</w:t>
      </w:r>
      <w:r>
        <w:rPr>
          <w:i/>
        </w:rPr>
        <w:t>”</w:t>
      </w:r>
      <w:r>
        <w:t>.  This subtitle has created some controversy because it is not written in Mozart’s hand and is a German-Italian non-standardized combination of words and grammar</w:t>
      </w:r>
      <w:r w:rsidRPr="002C0899">
        <w:t>.</w:t>
      </w:r>
      <w:r w:rsidRPr="002C0899">
        <w:rPr>
          <w:rStyle w:val="FootnoteReference"/>
        </w:rPr>
        <w:footnoteReference w:id="10"/>
      </w:r>
      <w:r w:rsidRPr="002C0899">
        <w:t xml:space="preserve">  The date of composition, along with why it was written and its commissioner are questionable and are long lost.  The dat</w:t>
      </w:r>
      <w:r>
        <w:t xml:space="preserve">e of composition is either </w:t>
      </w:r>
      <w:r w:rsidRPr="002C0899">
        <w:t>1780-81 while Mozart was in Munich</w:t>
      </w:r>
      <w:r w:rsidRPr="002C0899">
        <w:rPr>
          <w:rStyle w:val="FootnoteReference"/>
        </w:rPr>
        <w:footnoteReference w:id="11"/>
      </w:r>
      <w:r w:rsidRPr="002C0899">
        <w:t xml:space="preserve"> </w:t>
      </w:r>
      <w:r>
        <w:t>or was</w:t>
      </w:r>
      <w:r w:rsidRPr="002C0899">
        <w:t xml:space="preserve"> 1783-84 while Mozart was in Vienna.  The compositional date of the work is under debate due to the watermark research resulting in a date of 1782.</w:t>
      </w:r>
      <w:r w:rsidRPr="002C0899">
        <w:rPr>
          <w:rStyle w:val="FootnoteReference"/>
        </w:rPr>
        <w:footnoteReference w:id="12"/>
      </w:r>
      <w:r w:rsidRPr="002C0899">
        <w:t xml:space="preserve">  Mozart and his dog </w:t>
      </w:r>
      <w:r>
        <w:t>could have contributed to</w:t>
      </w:r>
      <w:r w:rsidRPr="002C0899">
        <w:t xml:space="preserve"> the reason why conflicting watermarks are noticed when they</w:t>
      </w:r>
      <w:r>
        <w:t xml:space="preserve"> possibly</w:t>
      </w:r>
      <w:r w:rsidRPr="002C0899">
        <w:t xml:space="preserve"> knocked things around and m</w:t>
      </w:r>
      <w:r>
        <w:t>ixed up his sheet music supply.  This would</w:t>
      </w:r>
      <w:r w:rsidRPr="002C0899">
        <w:t xml:space="preserve"> have cause</w:t>
      </w:r>
      <w:r>
        <w:t>d</w:t>
      </w:r>
      <w:r w:rsidRPr="002C0899">
        <w:t xml:space="preserve"> older paper to be used</w:t>
      </w:r>
      <w:r w:rsidRPr="002C0899">
        <w:rPr>
          <w:rStyle w:val="FootnoteReference"/>
        </w:rPr>
        <w:footnoteReference w:id="13"/>
      </w:r>
      <w:r>
        <w:t xml:space="preserve"> thus resulting in a dating error.</w:t>
      </w:r>
    </w:p>
    <w:p w:rsidR="000149AC" w:rsidRPr="002C0899" w:rsidRDefault="000149AC" w:rsidP="000149AC">
      <w:pPr>
        <w:spacing w:line="480" w:lineRule="auto"/>
        <w:ind w:firstLine="720"/>
      </w:pPr>
      <w:r w:rsidRPr="002C0899">
        <w:t xml:space="preserve">Whenever the date was, it was before 1784 because on March 23 of that year, four movements of the Serenade were premièred by </w:t>
      </w:r>
      <w:proofErr w:type="spellStart"/>
      <w:r w:rsidRPr="002C0899">
        <w:t>Stadler</w:t>
      </w:r>
      <w:proofErr w:type="spellEnd"/>
      <w:r w:rsidRPr="002C0899">
        <w:t xml:space="preserve"> and twelve other musicians at the </w:t>
      </w:r>
      <w:r w:rsidRPr="00686A50">
        <w:rPr>
          <w:i/>
        </w:rPr>
        <w:t>National</w:t>
      </w:r>
      <w:r w:rsidRPr="00001A95">
        <w:rPr>
          <w:i/>
        </w:rPr>
        <w:t xml:space="preserve"> </w:t>
      </w:r>
      <w:proofErr w:type="spellStart"/>
      <w:r w:rsidRPr="00001A95">
        <w:rPr>
          <w:i/>
        </w:rPr>
        <w:t>Hoftheater</w:t>
      </w:r>
      <w:proofErr w:type="spellEnd"/>
      <w:r w:rsidRPr="002C0899">
        <w:t xml:space="preserve"> in Vienna and reviewed in the </w:t>
      </w:r>
      <w:proofErr w:type="spellStart"/>
      <w:r w:rsidRPr="00001A95">
        <w:rPr>
          <w:i/>
        </w:rPr>
        <w:t>Winerblättchen</w:t>
      </w:r>
      <w:proofErr w:type="spellEnd"/>
      <w:r w:rsidRPr="002C0899">
        <w:t xml:space="preserve"> newspaper.</w:t>
      </w:r>
      <w:r w:rsidRPr="002C0899">
        <w:rPr>
          <w:rStyle w:val="FootnoteReference"/>
        </w:rPr>
        <w:footnoteReference w:id="14"/>
      </w:r>
      <w:r w:rsidRPr="002C0899">
        <w:t xml:space="preserve"> According to Daniel </w:t>
      </w:r>
      <w:proofErr w:type="spellStart"/>
      <w:r w:rsidRPr="002C0899">
        <w:t>Leeson</w:t>
      </w:r>
      <w:proofErr w:type="spellEnd"/>
      <w:r w:rsidRPr="002C0899">
        <w:t>, he believes that “no one can definitively establish when it was written, what circumstances that led to its creation, or who might have commissioned it”.</w:t>
      </w:r>
      <w:r w:rsidRPr="002C0899">
        <w:rPr>
          <w:rStyle w:val="FootnoteReference"/>
        </w:rPr>
        <w:footnoteReference w:id="15"/>
      </w:r>
    </w:p>
    <w:p w:rsidR="000149AC" w:rsidRPr="002C0899" w:rsidRDefault="000149AC" w:rsidP="000149AC">
      <w:pPr>
        <w:spacing w:line="480" w:lineRule="auto"/>
        <w:ind w:firstLine="720"/>
      </w:pPr>
      <w:r w:rsidRPr="002C0899">
        <w:t>Mozart could have possibly written it due to the influence of the great basset horn virtuosi David and Springer who were in Vienna at the time.</w:t>
      </w:r>
      <w:r w:rsidRPr="002C0899">
        <w:rPr>
          <w:rStyle w:val="FootnoteReference"/>
        </w:rPr>
        <w:footnoteReference w:id="16"/>
      </w:r>
      <w:r w:rsidRPr="002C0899">
        <w:t xml:space="preserve">  On the other hand stylistic evidence suggests that it may have been written for Anton </w:t>
      </w:r>
      <w:proofErr w:type="spellStart"/>
      <w:r w:rsidRPr="002C0899">
        <w:t>Stadler</w:t>
      </w:r>
      <w:proofErr w:type="spellEnd"/>
      <w:r w:rsidRPr="002C0899">
        <w:t>.</w:t>
      </w:r>
      <w:r w:rsidRPr="002C0899">
        <w:rPr>
          <w:rStyle w:val="FootnoteReference"/>
        </w:rPr>
        <w:footnoteReference w:id="17"/>
      </w:r>
      <w:r w:rsidRPr="002C0899">
        <w:t xml:space="preserve">  Most likely the presence of four excellent clarinet and basset horn virtuosi must have inspired Mozart to write such a work.</w:t>
      </w:r>
      <w:r w:rsidRPr="002C0899">
        <w:rPr>
          <w:rStyle w:val="FootnoteReference"/>
        </w:rPr>
        <w:footnoteReference w:id="18"/>
      </w:r>
      <w:r w:rsidRPr="002C0899">
        <w:t xml:space="preserve">  Anton </w:t>
      </w:r>
      <w:proofErr w:type="spellStart"/>
      <w:r w:rsidRPr="002C0899">
        <w:t>Stadler’s</w:t>
      </w:r>
      <w:proofErr w:type="spellEnd"/>
      <w:r w:rsidRPr="002C0899">
        <w:t xml:space="preserve"> playing and Mozart’s composition</w:t>
      </w:r>
      <w:r>
        <w:t>s</w:t>
      </w:r>
      <w:r w:rsidRPr="002C0899">
        <w:t xml:space="preserve"> were admired greatly and described in Johann Friedrich </w:t>
      </w:r>
      <w:proofErr w:type="spellStart"/>
      <w:r w:rsidRPr="002C0899">
        <w:t>Schink’s</w:t>
      </w:r>
      <w:proofErr w:type="spellEnd"/>
      <w:r w:rsidRPr="002C0899">
        <w:t xml:space="preserve"> memoirs</w:t>
      </w:r>
      <w:r>
        <w:t>.</w:t>
      </w:r>
      <w:r w:rsidRPr="002C0899">
        <w:rPr>
          <w:rStyle w:val="FootnoteReference"/>
        </w:rPr>
        <w:footnoteReference w:id="19"/>
      </w:r>
      <w:r w:rsidRPr="002C0899">
        <w:t xml:space="preserve"> </w:t>
      </w:r>
      <w:proofErr w:type="spellStart"/>
      <w:r>
        <w:t>Schink</w:t>
      </w:r>
      <w:proofErr w:type="spellEnd"/>
      <w:r w:rsidRPr="002C0899">
        <w:t xml:space="preserve"> describes </w:t>
      </w:r>
      <w:proofErr w:type="spellStart"/>
      <w:r w:rsidRPr="002C0899">
        <w:t>Stadler</w:t>
      </w:r>
      <w:proofErr w:type="spellEnd"/>
      <w:r w:rsidRPr="002C0899">
        <w:t xml:space="preserve"> as a </w:t>
      </w:r>
      <w:r w:rsidRPr="00001A95">
        <w:t>“braver Virtuoso”</w:t>
      </w:r>
      <w:r w:rsidRPr="002C0899">
        <w:t xml:space="preserve"> </w:t>
      </w:r>
      <w:r>
        <w:t>due to</w:t>
      </w:r>
      <w:r w:rsidRPr="002C0899">
        <w:t xml:space="preserve"> his soft vocal qualities in tone to which no one with a good “heart could withstand.”</w:t>
      </w:r>
      <w:r w:rsidRPr="002C0899">
        <w:rPr>
          <w:rStyle w:val="FootnoteReference"/>
        </w:rPr>
        <w:footnoteReference w:id="20"/>
      </w:r>
      <w:r w:rsidRPr="002C0899">
        <w:t xml:space="preserve">  If all four clarinetists were the inspiration, an interesting questio</w:t>
      </w:r>
      <w:r>
        <w:t>n arises in which who played what</w:t>
      </w:r>
      <w:r w:rsidRPr="002C0899">
        <w:t xml:space="preserve"> part.  If </w:t>
      </w:r>
      <w:proofErr w:type="spellStart"/>
      <w:r w:rsidRPr="002C0899">
        <w:t>Stadler</w:t>
      </w:r>
      <w:proofErr w:type="spellEnd"/>
      <w:r w:rsidRPr="002C0899">
        <w:t xml:space="preserve"> played first then, it is likely David and Springer would have had to borrow </w:t>
      </w:r>
      <w:proofErr w:type="spellStart"/>
      <w:r w:rsidRPr="002C0899">
        <w:t>Stadler’s</w:t>
      </w:r>
      <w:proofErr w:type="spellEnd"/>
      <w:r w:rsidRPr="002C0899">
        <w:t xml:space="preserve"> basset horn, for the key was different and the range was greater than the horn they had could accommodate.</w:t>
      </w:r>
      <w:r w:rsidRPr="002C0899">
        <w:rPr>
          <w:rStyle w:val="FootnoteReference"/>
        </w:rPr>
        <w:footnoteReference w:id="21"/>
      </w:r>
      <w:r w:rsidRPr="002C0899">
        <w:t xml:space="preserve">  </w:t>
      </w:r>
    </w:p>
    <w:p w:rsidR="000149AC" w:rsidRPr="002C0899" w:rsidRDefault="000149AC" w:rsidP="000149AC">
      <w:pPr>
        <w:pBdr>
          <w:bottom w:val="single" w:sz="6" w:space="1" w:color="auto"/>
        </w:pBdr>
        <w:spacing w:line="480" w:lineRule="auto"/>
        <w:ind w:firstLine="720"/>
      </w:pPr>
      <w:r w:rsidRPr="002C0899">
        <w:t>The work is full of rich sonorities that emote a feeling of breathlessness and intimacy in the concert hall.  It is fitting that it closes Mozart’s great period of wind writing.</w:t>
      </w:r>
      <w:r w:rsidRPr="002C0899">
        <w:rPr>
          <w:rStyle w:val="FootnoteReference"/>
        </w:rPr>
        <w:footnoteReference w:id="22"/>
      </w:r>
      <w:r w:rsidRPr="002C0899">
        <w:t xml:space="preserve">  The two basset horns play a pivotal role throughout the work and are often paired with the two clarinets, especially in the first trio of the first </w:t>
      </w:r>
      <w:proofErr w:type="spellStart"/>
      <w:r>
        <w:rPr>
          <w:i/>
        </w:rPr>
        <w:t>M</w:t>
      </w:r>
      <w:r w:rsidRPr="00235E3B">
        <w:rPr>
          <w:i/>
        </w:rPr>
        <w:t>enuetto</w:t>
      </w:r>
      <w:proofErr w:type="spellEnd"/>
      <w:r>
        <w:t xml:space="preserve"> (example 2).  Mozart</w:t>
      </w:r>
      <w:r w:rsidRPr="002C0899">
        <w:t xml:space="preserve"> likes not only in this work, </w:t>
      </w:r>
      <w:proofErr w:type="gramStart"/>
      <w:r w:rsidRPr="002C0899">
        <w:t>but</w:t>
      </w:r>
      <w:proofErr w:type="gramEnd"/>
      <w:r>
        <w:t xml:space="preserve"> in others</w:t>
      </w:r>
      <w:r w:rsidRPr="002C0899">
        <w:t xml:space="preserve"> to pair the basset horn with the oboes.  Mozart’s use of thematic material that is dialogue in nature while contrasting between </w:t>
      </w:r>
      <w:proofErr w:type="spellStart"/>
      <w:r w:rsidRPr="002C0899">
        <w:t>tutti</w:t>
      </w:r>
      <w:proofErr w:type="spellEnd"/>
      <w:r w:rsidRPr="002C0899">
        <w:t xml:space="preserve"> and smaller groups, has allowed for a variety of instrumental combinations and is ultimately “kaleidoscopic writing… [</w:t>
      </w:r>
      <w:proofErr w:type="gramStart"/>
      <w:r w:rsidRPr="002C0899">
        <w:t>which</w:t>
      </w:r>
      <w:proofErr w:type="gramEnd"/>
      <w:r w:rsidRPr="002C0899">
        <w:t xml:space="preserve"> stands] without parallel in wind music” today.</w:t>
      </w:r>
      <w:r w:rsidRPr="002C0899">
        <w:rPr>
          <w:rStyle w:val="FootnoteReference"/>
        </w:rPr>
        <w:footnoteReference w:id="23"/>
      </w:r>
      <w:r w:rsidRPr="002C0899">
        <w:t xml:space="preserve">   </w:t>
      </w:r>
    </w:p>
    <w:p w:rsidR="000149AC" w:rsidRDefault="000149AC">
      <w:bookmarkStart w:id="0" w:name="_GoBack"/>
      <w:bookmarkEnd w:id="0"/>
    </w:p>
    <w:p w:rsidR="000149AC" w:rsidRDefault="000149AC"/>
    <w:p w:rsidR="000149AC" w:rsidRPr="005B7419" w:rsidRDefault="000149AC" w:rsidP="000149AC">
      <w:pPr>
        <w:spacing w:line="480" w:lineRule="auto"/>
      </w:pPr>
      <w:proofErr w:type="spellStart"/>
      <w:r w:rsidRPr="002C0899">
        <w:rPr>
          <w:szCs w:val="20"/>
        </w:rPr>
        <w:t>Anh</w:t>
      </w:r>
      <w:proofErr w:type="spellEnd"/>
      <w:r w:rsidRPr="002C0899">
        <w:rPr>
          <w:szCs w:val="20"/>
        </w:rPr>
        <w:t>. 229 (K.</w:t>
      </w:r>
      <w:r w:rsidRPr="002C0899">
        <w:rPr>
          <w:szCs w:val="20"/>
          <w:vertAlign w:val="superscript"/>
        </w:rPr>
        <w:t>2</w:t>
      </w:r>
      <w:r w:rsidRPr="002C0899">
        <w:rPr>
          <w:szCs w:val="20"/>
        </w:rPr>
        <w:t xml:space="preserve"> </w:t>
      </w:r>
      <w:proofErr w:type="spellStart"/>
      <w:r w:rsidRPr="002C0899">
        <w:rPr>
          <w:szCs w:val="20"/>
        </w:rPr>
        <w:t>Anh</w:t>
      </w:r>
      <w:proofErr w:type="spellEnd"/>
      <w:r w:rsidRPr="002C0899">
        <w:rPr>
          <w:szCs w:val="20"/>
        </w:rPr>
        <w:t>. 229</w:t>
      </w:r>
      <w:r w:rsidRPr="002C0899">
        <w:rPr>
          <w:szCs w:val="20"/>
          <w:vertAlign w:val="superscript"/>
        </w:rPr>
        <w:t>a</w:t>
      </w:r>
      <w:r w:rsidRPr="002C0899">
        <w:rPr>
          <w:szCs w:val="20"/>
        </w:rPr>
        <w:t>, K.</w:t>
      </w:r>
      <w:r w:rsidRPr="002C0899">
        <w:rPr>
          <w:szCs w:val="20"/>
          <w:vertAlign w:val="superscript"/>
        </w:rPr>
        <w:t>6</w:t>
      </w:r>
      <w:r w:rsidRPr="002C0899">
        <w:rPr>
          <w:szCs w:val="20"/>
        </w:rPr>
        <w:t xml:space="preserve"> 439b)</w:t>
      </w:r>
      <w:r w:rsidRPr="002C0899">
        <w:tab/>
      </w:r>
      <w:r w:rsidRPr="002C0899">
        <w:tab/>
      </w:r>
      <w:proofErr w:type="spellStart"/>
      <w:r w:rsidRPr="00132792">
        <w:rPr>
          <w:rFonts w:cs="Arial"/>
          <w:i/>
          <w:szCs w:val="34"/>
        </w:rPr>
        <w:t>fünfundzwanzig</w:t>
      </w:r>
      <w:proofErr w:type="spellEnd"/>
      <w:r w:rsidRPr="00132792">
        <w:rPr>
          <w:rFonts w:cs="Arial"/>
          <w:i/>
          <w:szCs w:val="34"/>
        </w:rPr>
        <w:t xml:space="preserve"> </w:t>
      </w:r>
      <w:proofErr w:type="spellStart"/>
      <w:r w:rsidRPr="00132792">
        <w:rPr>
          <w:rFonts w:cs="Arial"/>
          <w:i/>
          <w:szCs w:val="34"/>
        </w:rPr>
        <w:t>Stücke</w:t>
      </w:r>
      <w:proofErr w:type="spellEnd"/>
      <w:r w:rsidRPr="002C0899">
        <w:rPr>
          <w:i/>
          <w:szCs w:val="20"/>
        </w:rPr>
        <w:t xml:space="preserve"> </w:t>
      </w:r>
      <w:r>
        <w:rPr>
          <w:i/>
          <w:szCs w:val="20"/>
        </w:rPr>
        <w:t>(</w:t>
      </w:r>
      <w:proofErr w:type="spellStart"/>
      <w:r>
        <w:rPr>
          <w:i/>
          <w:szCs w:val="20"/>
        </w:rPr>
        <w:t>fünf</w:t>
      </w:r>
      <w:proofErr w:type="spellEnd"/>
      <w:r>
        <w:rPr>
          <w:i/>
          <w:szCs w:val="20"/>
        </w:rPr>
        <w:t xml:space="preserve"> divertimenti</w:t>
      </w:r>
      <w:r w:rsidRPr="002C0899">
        <w:rPr>
          <w:i/>
          <w:szCs w:val="20"/>
        </w:rPr>
        <w:t>)</w:t>
      </w:r>
      <w:r w:rsidRPr="002C0899">
        <w:rPr>
          <w:rStyle w:val="FootnoteReference"/>
          <w:i/>
          <w:szCs w:val="20"/>
        </w:rPr>
        <w:footnoteReference w:id="24"/>
      </w:r>
    </w:p>
    <w:p w:rsidR="000149AC" w:rsidRPr="002C0899" w:rsidRDefault="000149AC" w:rsidP="000149AC">
      <w:pPr>
        <w:pStyle w:val="ListParagraph"/>
        <w:numPr>
          <w:ilvl w:val="0"/>
          <w:numId w:val="2"/>
        </w:numPr>
        <w:spacing w:line="480" w:lineRule="auto"/>
        <w:rPr>
          <w:szCs w:val="20"/>
        </w:rPr>
      </w:pPr>
      <w:r w:rsidRPr="002C0899">
        <w:rPr>
          <w:szCs w:val="20"/>
        </w:rPr>
        <w:t xml:space="preserve">AMA: XXIV/11/No. 62, pp. 1, 8, 15, 25, 31, (2cl; </w:t>
      </w:r>
      <w:proofErr w:type="spellStart"/>
      <w:r w:rsidRPr="002C0899">
        <w:rPr>
          <w:szCs w:val="20"/>
        </w:rPr>
        <w:t>bn</w:t>
      </w:r>
      <w:proofErr w:type="spellEnd"/>
      <w:r w:rsidRPr="002C0899">
        <w:rPr>
          <w:szCs w:val="20"/>
        </w:rPr>
        <w:t>) [R 40]</w:t>
      </w:r>
    </w:p>
    <w:p w:rsidR="000149AC" w:rsidRPr="002C0899" w:rsidRDefault="000149AC" w:rsidP="000149AC">
      <w:pPr>
        <w:pStyle w:val="ListParagraph"/>
        <w:numPr>
          <w:ilvl w:val="0"/>
          <w:numId w:val="2"/>
        </w:numPr>
        <w:spacing w:line="480" w:lineRule="auto"/>
        <w:rPr>
          <w:szCs w:val="20"/>
        </w:rPr>
      </w:pPr>
      <w:r w:rsidRPr="002C0899">
        <w:rPr>
          <w:szCs w:val="20"/>
        </w:rPr>
        <w:t>NMA: VIII/21, p. 67, p. 78, p. 89, p. 105, p. 114 (also p. 167) [</w:t>
      </w:r>
      <w:proofErr w:type="spellStart"/>
      <w:r w:rsidRPr="002C0899">
        <w:rPr>
          <w:szCs w:val="20"/>
        </w:rPr>
        <w:t>Pb</w:t>
      </w:r>
      <w:proofErr w:type="spellEnd"/>
      <w:r w:rsidRPr="002C0899">
        <w:rPr>
          <w:szCs w:val="20"/>
        </w:rPr>
        <w:t xml:space="preserve"> 18]</w:t>
      </w:r>
    </w:p>
    <w:p w:rsidR="000149AC" w:rsidRDefault="000149AC" w:rsidP="000149AC">
      <w:pPr>
        <w:spacing w:line="480" w:lineRule="auto"/>
      </w:pPr>
    </w:p>
    <w:p w:rsidR="000149AC" w:rsidRDefault="000149AC" w:rsidP="000149AC">
      <w:pPr>
        <w:pStyle w:val="Caption"/>
      </w:pPr>
      <w:r>
        <w:t xml:space="preserve">Example </w:t>
      </w:r>
      <w:r>
        <w:fldChar w:fldCharType="begin"/>
      </w:r>
      <w:r>
        <w:instrText xml:space="preserve"> SEQ Example \* ARABIC </w:instrText>
      </w:r>
      <w:r>
        <w:fldChar w:fldCharType="separate"/>
      </w:r>
      <w:r>
        <w:rPr>
          <w:noProof/>
        </w:rPr>
        <w:t>3</w:t>
      </w:r>
      <w:r>
        <w:fldChar w:fldCharType="end"/>
      </w:r>
      <w:r>
        <w:t xml:space="preserve">: </w:t>
      </w:r>
      <w:proofErr w:type="spellStart"/>
      <w:r>
        <w:t>Anh</w:t>
      </w:r>
      <w:proofErr w:type="spellEnd"/>
      <w:r>
        <w:t>. 229, No. 1, Movement 1, mm. 1-3</w:t>
      </w:r>
      <w:r>
        <w:rPr>
          <w:rStyle w:val="FootnoteReference"/>
        </w:rPr>
        <w:footnoteReference w:id="25"/>
      </w:r>
    </w:p>
    <w:p w:rsidR="000149AC" w:rsidRPr="002C0899" w:rsidRDefault="000149AC" w:rsidP="000149AC">
      <w:pPr>
        <w:spacing w:line="480" w:lineRule="auto"/>
        <w:rPr>
          <w:szCs w:val="20"/>
        </w:rPr>
      </w:pPr>
      <w:r>
        <w:rPr>
          <w:noProof/>
          <w:szCs w:val="20"/>
        </w:rPr>
        <w:drawing>
          <wp:inline distT="0" distB="0" distL="0" distR="0">
            <wp:extent cx="3362960" cy="175768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2960" cy="1757680"/>
                    </a:xfrm>
                    <a:prstGeom prst="rect">
                      <a:avLst/>
                    </a:prstGeom>
                    <a:noFill/>
                    <a:ln>
                      <a:noFill/>
                    </a:ln>
                  </pic:spPr>
                </pic:pic>
              </a:graphicData>
            </a:graphic>
          </wp:inline>
        </w:drawing>
      </w:r>
    </w:p>
    <w:p w:rsidR="000149AC" w:rsidRDefault="000149AC" w:rsidP="000149AC">
      <w:pPr>
        <w:spacing w:line="480" w:lineRule="auto"/>
      </w:pPr>
    </w:p>
    <w:p w:rsidR="000149AC" w:rsidRPr="002C0899" w:rsidRDefault="000149AC" w:rsidP="000149AC">
      <w:pPr>
        <w:spacing w:line="480" w:lineRule="auto"/>
      </w:pPr>
      <w:r w:rsidRPr="002C0899">
        <w:t xml:space="preserve">No. 1: Allegro, </w:t>
      </w:r>
      <w:proofErr w:type="spellStart"/>
      <w:r w:rsidRPr="002C0899">
        <w:t>Menuetto</w:t>
      </w:r>
      <w:proofErr w:type="spellEnd"/>
      <w:r w:rsidRPr="002C0899">
        <w:t>: Allegretto, Adagio, Rondo; Allegro</w:t>
      </w:r>
    </w:p>
    <w:p w:rsidR="000149AC" w:rsidRPr="002C0899" w:rsidRDefault="000149AC" w:rsidP="000149AC">
      <w:pPr>
        <w:spacing w:line="480" w:lineRule="auto"/>
      </w:pPr>
      <w:r w:rsidRPr="002C0899">
        <w:t xml:space="preserve">No. 2: Allegro. </w:t>
      </w:r>
      <w:proofErr w:type="spellStart"/>
      <w:r w:rsidRPr="002C0899">
        <w:t>Menuetto</w:t>
      </w:r>
      <w:proofErr w:type="spellEnd"/>
      <w:r w:rsidRPr="002C0899">
        <w:t xml:space="preserve">, Larghetto. </w:t>
      </w:r>
      <w:proofErr w:type="spellStart"/>
      <w:r w:rsidRPr="002C0899">
        <w:t>Menuetto</w:t>
      </w:r>
      <w:proofErr w:type="spellEnd"/>
      <w:r w:rsidRPr="002C0899">
        <w:t>. Rondo; Allegro</w:t>
      </w:r>
    </w:p>
    <w:p w:rsidR="000149AC" w:rsidRPr="002C0899" w:rsidRDefault="000149AC" w:rsidP="000149AC">
      <w:pPr>
        <w:spacing w:line="480" w:lineRule="auto"/>
      </w:pPr>
      <w:r w:rsidRPr="002C0899">
        <w:t xml:space="preserve">No. 3: Allegro, </w:t>
      </w:r>
      <w:proofErr w:type="spellStart"/>
      <w:r w:rsidRPr="002C0899">
        <w:t>Menuetto</w:t>
      </w:r>
      <w:proofErr w:type="spellEnd"/>
      <w:r w:rsidRPr="002C0899">
        <w:t xml:space="preserve">, Adagio, </w:t>
      </w:r>
      <w:proofErr w:type="spellStart"/>
      <w:r w:rsidRPr="002C0899">
        <w:t>Menuetto</w:t>
      </w:r>
      <w:proofErr w:type="spellEnd"/>
      <w:r w:rsidRPr="002C0899">
        <w:t xml:space="preserve">, </w:t>
      </w:r>
      <w:proofErr w:type="gramStart"/>
      <w:r w:rsidRPr="002C0899">
        <w:t>Rondo</w:t>
      </w:r>
      <w:proofErr w:type="gramEnd"/>
    </w:p>
    <w:p w:rsidR="000149AC" w:rsidRPr="002C0899" w:rsidRDefault="000149AC" w:rsidP="000149AC">
      <w:pPr>
        <w:spacing w:line="480" w:lineRule="auto"/>
      </w:pPr>
      <w:r w:rsidRPr="002C0899">
        <w:t xml:space="preserve">No. 4: Allegro, Larghetto, </w:t>
      </w:r>
      <w:proofErr w:type="spellStart"/>
      <w:r w:rsidRPr="002C0899">
        <w:t>Menuetto</w:t>
      </w:r>
      <w:proofErr w:type="spellEnd"/>
      <w:r w:rsidRPr="002C0899">
        <w:t>, Adagio, Allegro; Rondo</w:t>
      </w:r>
    </w:p>
    <w:p w:rsidR="000149AC" w:rsidRPr="002C0899" w:rsidRDefault="000149AC" w:rsidP="000149AC">
      <w:pPr>
        <w:spacing w:line="480" w:lineRule="auto"/>
      </w:pPr>
      <w:r w:rsidRPr="002C0899">
        <w:t xml:space="preserve">No. 5: Adagio, </w:t>
      </w:r>
      <w:proofErr w:type="spellStart"/>
      <w:r w:rsidRPr="002C0899">
        <w:t>Menuetto</w:t>
      </w:r>
      <w:proofErr w:type="spellEnd"/>
      <w:r w:rsidRPr="002C0899">
        <w:t>, Adagio, Andante; Romance, Polonaise</w:t>
      </w:r>
    </w:p>
    <w:p w:rsidR="000149AC" w:rsidRPr="002C0899" w:rsidRDefault="000149AC" w:rsidP="000149AC">
      <w:pPr>
        <w:spacing w:line="480" w:lineRule="auto"/>
        <w:rPr>
          <w:szCs w:val="20"/>
        </w:rPr>
      </w:pPr>
    </w:p>
    <w:p w:rsidR="000149AC" w:rsidRDefault="000149AC" w:rsidP="000149AC">
      <w:pPr>
        <w:spacing w:line="480" w:lineRule="auto"/>
        <w:rPr>
          <w:szCs w:val="20"/>
        </w:rPr>
      </w:pPr>
      <w:r w:rsidRPr="002C0899">
        <w:rPr>
          <w:szCs w:val="20"/>
        </w:rPr>
        <w:tab/>
      </w:r>
      <w:proofErr w:type="spellStart"/>
      <w:r w:rsidRPr="002C0899">
        <w:rPr>
          <w:szCs w:val="20"/>
        </w:rPr>
        <w:t>Anhang</w:t>
      </w:r>
      <w:proofErr w:type="spellEnd"/>
      <w:r w:rsidRPr="002C0899">
        <w:rPr>
          <w:szCs w:val="20"/>
        </w:rPr>
        <w:t xml:space="preserve"> 229, or </w:t>
      </w:r>
      <w:r w:rsidRPr="002C0899">
        <w:t>K</w:t>
      </w:r>
      <w:r w:rsidRPr="002C0899">
        <w:rPr>
          <w:vertAlign w:val="superscript"/>
        </w:rPr>
        <w:t xml:space="preserve">2 </w:t>
      </w:r>
      <w:proofErr w:type="spellStart"/>
      <w:r w:rsidRPr="002C0899">
        <w:rPr>
          <w:szCs w:val="20"/>
        </w:rPr>
        <w:t>Anhang</w:t>
      </w:r>
      <w:proofErr w:type="spellEnd"/>
      <w:r w:rsidRPr="002C0899">
        <w:rPr>
          <w:szCs w:val="20"/>
        </w:rPr>
        <w:t xml:space="preserve"> 229a, </w:t>
      </w:r>
      <w:r w:rsidRPr="002C0899">
        <w:t>K</w:t>
      </w:r>
      <w:r w:rsidRPr="002C0899">
        <w:rPr>
          <w:vertAlign w:val="superscript"/>
        </w:rPr>
        <w:t xml:space="preserve">6 </w:t>
      </w:r>
      <w:r w:rsidRPr="002C0899">
        <w:rPr>
          <w:szCs w:val="20"/>
        </w:rPr>
        <w:t xml:space="preserve">439b also is an interesting work that has a controversial past.  It is a collection of twenty-five pieces, in </w:t>
      </w:r>
      <w:r>
        <w:rPr>
          <w:szCs w:val="20"/>
        </w:rPr>
        <w:t>B-flat-</w:t>
      </w:r>
      <w:r w:rsidRPr="002C0899">
        <w:rPr>
          <w:szCs w:val="20"/>
        </w:rPr>
        <w:t xml:space="preserve">major, that have been separated into five divertimenti for three basset horns.  They have several different </w:t>
      </w:r>
      <w:proofErr w:type="spellStart"/>
      <w:r w:rsidRPr="002C0899">
        <w:rPr>
          <w:szCs w:val="20"/>
        </w:rPr>
        <w:t>Köchel</w:t>
      </w:r>
      <w:proofErr w:type="spellEnd"/>
      <w:r w:rsidRPr="002C0899">
        <w:rPr>
          <w:szCs w:val="20"/>
        </w:rPr>
        <w:t xml:space="preserve"> listings and names including K</w:t>
      </w:r>
      <w:r w:rsidRPr="002C0899">
        <w:rPr>
          <w:szCs w:val="20"/>
          <w:vertAlign w:val="superscript"/>
        </w:rPr>
        <w:t>1</w:t>
      </w:r>
      <w:r w:rsidRPr="002C0899">
        <w:rPr>
          <w:szCs w:val="20"/>
        </w:rPr>
        <w:t xml:space="preserve"> listing only </w:t>
      </w:r>
      <w:r w:rsidRPr="002C0899">
        <w:rPr>
          <w:i/>
          <w:szCs w:val="20"/>
        </w:rPr>
        <w:t>Divertimento II</w:t>
      </w:r>
      <w:r w:rsidRPr="002C0899">
        <w:rPr>
          <w:szCs w:val="20"/>
        </w:rPr>
        <w:t>, K</w:t>
      </w:r>
      <w:r w:rsidRPr="002C0899">
        <w:rPr>
          <w:szCs w:val="20"/>
          <w:vertAlign w:val="superscript"/>
        </w:rPr>
        <w:t>2</w:t>
      </w:r>
      <w:r>
        <w:rPr>
          <w:szCs w:val="20"/>
        </w:rPr>
        <w:t xml:space="preserve"> listing</w:t>
      </w:r>
      <w:r w:rsidRPr="002C0899">
        <w:rPr>
          <w:szCs w:val="20"/>
        </w:rPr>
        <w:t xml:space="preserve"> </w:t>
      </w:r>
      <w:r>
        <w:rPr>
          <w:szCs w:val="20"/>
        </w:rPr>
        <w:t xml:space="preserve">as </w:t>
      </w:r>
      <w:proofErr w:type="spellStart"/>
      <w:r w:rsidRPr="002C0899">
        <w:rPr>
          <w:szCs w:val="20"/>
        </w:rPr>
        <w:t>Anhang</w:t>
      </w:r>
      <w:proofErr w:type="spellEnd"/>
      <w:r w:rsidRPr="002C0899">
        <w:rPr>
          <w:szCs w:val="20"/>
        </w:rPr>
        <w:t xml:space="preserve"> 229a,</w:t>
      </w:r>
      <w:r w:rsidRPr="002C0899">
        <w:rPr>
          <w:i/>
          <w:iCs/>
          <w:szCs w:val="20"/>
        </w:rPr>
        <w:t xml:space="preserve"> 3 </w:t>
      </w:r>
      <w:proofErr w:type="spellStart"/>
      <w:r w:rsidRPr="002C0899">
        <w:rPr>
          <w:i/>
          <w:iCs/>
          <w:szCs w:val="20"/>
        </w:rPr>
        <w:t>Terzetti</w:t>
      </w:r>
      <w:proofErr w:type="spellEnd"/>
      <w:r w:rsidRPr="002C0899">
        <w:rPr>
          <w:i/>
          <w:iCs/>
          <w:szCs w:val="20"/>
        </w:rPr>
        <w:t xml:space="preserve"> </w:t>
      </w:r>
      <w:proofErr w:type="spellStart"/>
      <w:r w:rsidRPr="002C0899">
        <w:rPr>
          <w:i/>
          <w:iCs/>
          <w:szCs w:val="20"/>
        </w:rPr>
        <w:t>facili</w:t>
      </w:r>
      <w:proofErr w:type="spellEnd"/>
      <w:r w:rsidRPr="002C0899">
        <w:rPr>
          <w:szCs w:val="20"/>
        </w:rPr>
        <w:t>, and then finally K</w:t>
      </w:r>
      <w:r w:rsidRPr="002C0899">
        <w:rPr>
          <w:szCs w:val="20"/>
          <w:vertAlign w:val="superscript"/>
        </w:rPr>
        <w:t xml:space="preserve">6 </w:t>
      </w:r>
      <w:r w:rsidRPr="002C0899">
        <w:rPr>
          <w:szCs w:val="20"/>
        </w:rPr>
        <w:t xml:space="preserve">as 439b, </w:t>
      </w:r>
      <w:r w:rsidRPr="002C0899">
        <w:rPr>
          <w:i/>
          <w:szCs w:val="20"/>
        </w:rPr>
        <w:t>5 Divertimenti.</w:t>
      </w:r>
      <w:r w:rsidRPr="002C0899">
        <w:rPr>
          <w:szCs w:val="20"/>
        </w:rPr>
        <w:t xml:space="preserve"> They </w:t>
      </w:r>
      <w:r>
        <w:rPr>
          <w:szCs w:val="20"/>
        </w:rPr>
        <w:t>were</w:t>
      </w:r>
      <w:r w:rsidRPr="002C0899">
        <w:rPr>
          <w:szCs w:val="20"/>
        </w:rPr>
        <w:t xml:space="preserve"> allegedly composed between 1783 and 1788.</w:t>
      </w:r>
      <w:r w:rsidRPr="002C0899">
        <w:rPr>
          <w:rStyle w:val="FootnoteReference"/>
          <w:szCs w:val="20"/>
        </w:rPr>
        <w:footnoteReference w:id="26"/>
      </w:r>
      <w:r w:rsidRPr="002C0899">
        <w:rPr>
          <w:szCs w:val="20"/>
        </w:rPr>
        <w:t xml:space="preserve">  These divertimenti have long been lost in the</w:t>
      </w:r>
      <w:r>
        <w:rPr>
          <w:szCs w:val="20"/>
        </w:rPr>
        <w:t xml:space="preserve">ir </w:t>
      </w:r>
      <w:r w:rsidRPr="002C0899">
        <w:rPr>
          <w:szCs w:val="20"/>
        </w:rPr>
        <w:t xml:space="preserve">original form.  Even in Mozart’s time it is believed that </w:t>
      </w:r>
      <w:proofErr w:type="spellStart"/>
      <w:r w:rsidRPr="002C0899">
        <w:rPr>
          <w:szCs w:val="20"/>
        </w:rPr>
        <w:t>Constanze’s</w:t>
      </w:r>
      <w:proofErr w:type="spellEnd"/>
      <w:r w:rsidRPr="002C0899">
        <w:rPr>
          <w:szCs w:val="20"/>
        </w:rPr>
        <w:t xml:space="preserve"> letter to the publisher André in May of 1800 claims that </w:t>
      </w:r>
      <w:proofErr w:type="spellStart"/>
      <w:r w:rsidRPr="002C0899">
        <w:rPr>
          <w:szCs w:val="20"/>
        </w:rPr>
        <w:t>Stadler</w:t>
      </w:r>
      <w:proofErr w:type="spellEnd"/>
      <w:r w:rsidRPr="002C0899">
        <w:rPr>
          <w:szCs w:val="20"/>
        </w:rPr>
        <w:t xml:space="preserve"> had in his suitcase some unknown trios for basset horns that were stolen or more acceptably believed, pawned among instruments and the manuscripts of other works possibly including the </w:t>
      </w:r>
      <w:r>
        <w:rPr>
          <w:szCs w:val="20"/>
        </w:rPr>
        <w:t xml:space="preserve">clarinet </w:t>
      </w:r>
      <w:r>
        <w:rPr>
          <w:i/>
          <w:szCs w:val="20"/>
        </w:rPr>
        <w:t>C</w:t>
      </w:r>
      <w:r w:rsidRPr="00D90808">
        <w:rPr>
          <w:i/>
          <w:szCs w:val="20"/>
        </w:rPr>
        <w:t>oncerto</w:t>
      </w:r>
      <w:r w:rsidRPr="002C0899">
        <w:rPr>
          <w:szCs w:val="20"/>
        </w:rPr>
        <w:t xml:space="preserve"> and </w:t>
      </w:r>
      <w:r w:rsidRPr="00D90808">
        <w:rPr>
          <w:i/>
          <w:szCs w:val="20"/>
        </w:rPr>
        <w:t>Quinte</w:t>
      </w:r>
      <w:r w:rsidRPr="002C0899">
        <w:rPr>
          <w:szCs w:val="20"/>
        </w:rPr>
        <w:t>t for 73 ducats.</w:t>
      </w:r>
      <w:r w:rsidRPr="002C0899">
        <w:rPr>
          <w:rStyle w:val="FootnoteReference"/>
          <w:szCs w:val="20"/>
        </w:rPr>
        <w:footnoteReference w:id="27"/>
      </w:r>
      <w:r>
        <w:rPr>
          <w:szCs w:val="20"/>
        </w:rPr>
        <w:t xml:space="preserve">  A</w:t>
      </w:r>
      <w:r w:rsidRPr="002C0899">
        <w:rPr>
          <w:szCs w:val="20"/>
        </w:rPr>
        <w:t xml:space="preserve"> controversy arises because there are no original </w:t>
      </w:r>
      <w:r>
        <w:rPr>
          <w:szCs w:val="20"/>
        </w:rPr>
        <w:t>m</w:t>
      </w:r>
      <w:r w:rsidRPr="002C0899">
        <w:rPr>
          <w:szCs w:val="20"/>
        </w:rPr>
        <w:t xml:space="preserve">anuscripts, however, this collection of divertimenti were published in 1803 by </w:t>
      </w:r>
      <w:proofErr w:type="spellStart"/>
      <w:r w:rsidRPr="002C0899">
        <w:rPr>
          <w:szCs w:val="20"/>
        </w:rPr>
        <w:t>Breitkopf</w:t>
      </w:r>
      <w:proofErr w:type="spellEnd"/>
      <w:r w:rsidRPr="002C0899">
        <w:rPr>
          <w:szCs w:val="20"/>
        </w:rPr>
        <w:t xml:space="preserve"> and </w:t>
      </w:r>
      <w:proofErr w:type="spellStart"/>
      <w:r w:rsidRPr="002C0899">
        <w:rPr>
          <w:szCs w:val="20"/>
        </w:rPr>
        <w:t>Härtel</w:t>
      </w:r>
      <w:proofErr w:type="spellEnd"/>
      <w:r w:rsidRPr="002C0899">
        <w:rPr>
          <w:szCs w:val="20"/>
        </w:rPr>
        <w:t xml:space="preserve"> under Mozart’s name for two basset horns and bassoon, and later by </w:t>
      </w:r>
      <w:proofErr w:type="spellStart"/>
      <w:r w:rsidRPr="002C0899">
        <w:rPr>
          <w:szCs w:val="20"/>
        </w:rPr>
        <w:t>Simrock</w:t>
      </w:r>
      <w:proofErr w:type="spellEnd"/>
      <w:r w:rsidRPr="002C0899">
        <w:rPr>
          <w:szCs w:val="20"/>
        </w:rPr>
        <w:t xml:space="preserve"> </w:t>
      </w:r>
      <w:r>
        <w:rPr>
          <w:szCs w:val="20"/>
        </w:rPr>
        <w:t xml:space="preserve">for </w:t>
      </w:r>
      <w:r w:rsidRPr="002C0899">
        <w:rPr>
          <w:szCs w:val="20"/>
        </w:rPr>
        <w:t>two clarinets and bassoon.</w:t>
      </w:r>
      <w:r w:rsidRPr="002C0899">
        <w:rPr>
          <w:rStyle w:val="FootnoteReference"/>
          <w:szCs w:val="20"/>
        </w:rPr>
        <w:footnoteReference w:id="28"/>
      </w:r>
      <w:r>
        <w:rPr>
          <w:szCs w:val="20"/>
        </w:rPr>
        <w:t xml:space="preserve">  It is widely </w:t>
      </w:r>
      <w:r w:rsidRPr="002C0899">
        <w:rPr>
          <w:szCs w:val="20"/>
        </w:rPr>
        <w:t>believed that these divertimenti are the works in question that were lo</w:t>
      </w:r>
      <w:r>
        <w:rPr>
          <w:szCs w:val="20"/>
        </w:rPr>
        <w:t xml:space="preserve">st by </w:t>
      </w:r>
      <w:proofErr w:type="spellStart"/>
      <w:r>
        <w:rPr>
          <w:szCs w:val="20"/>
        </w:rPr>
        <w:t>Stadler</w:t>
      </w:r>
      <w:proofErr w:type="spellEnd"/>
      <w:r>
        <w:rPr>
          <w:szCs w:val="20"/>
        </w:rPr>
        <w:t xml:space="preserve"> and have been</w:t>
      </w:r>
      <w:r w:rsidRPr="002C0899">
        <w:rPr>
          <w:szCs w:val="20"/>
        </w:rPr>
        <w:t xml:space="preserve"> generally accepted </w:t>
      </w:r>
      <w:r>
        <w:rPr>
          <w:szCs w:val="20"/>
        </w:rPr>
        <w:t>as composed</w:t>
      </w:r>
      <w:r w:rsidRPr="002C0899">
        <w:rPr>
          <w:szCs w:val="20"/>
        </w:rPr>
        <w:t xml:space="preserve"> for three basset horns and not with bassoon.</w:t>
      </w:r>
      <w:r w:rsidRPr="002C0899">
        <w:rPr>
          <w:rStyle w:val="FootnoteReference"/>
          <w:szCs w:val="20"/>
        </w:rPr>
        <w:footnoteReference w:id="29"/>
      </w:r>
      <w:r w:rsidRPr="002C0899">
        <w:rPr>
          <w:szCs w:val="20"/>
        </w:rPr>
        <w:t xml:space="preserve">  </w:t>
      </w:r>
      <w:r>
        <w:rPr>
          <w:szCs w:val="20"/>
        </w:rPr>
        <w:t xml:space="preserve">The three basset horn approach makes more sense due to the fact that the upper clarinet parts and bassoon lower parts is too far apart and creates havoc in the harmonic structure.  Mozart was also a fan of homogeneous instrumentation, which allows the pieces to sound better and coherent in timbre and sound with three basset horns.  </w:t>
      </w:r>
    </w:p>
    <w:p w:rsidR="000149AC" w:rsidRPr="002C0899" w:rsidRDefault="000149AC" w:rsidP="000149AC">
      <w:pPr>
        <w:spacing w:line="480" w:lineRule="auto"/>
        <w:ind w:firstLine="720"/>
        <w:rPr>
          <w:szCs w:val="20"/>
        </w:rPr>
      </w:pPr>
      <w:r w:rsidRPr="002C0899">
        <w:rPr>
          <w:szCs w:val="20"/>
        </w:rPr>
        <w:t xml:space="preserve">It is unknown whether the divertimenti are supposed to be grouped the way they are </w:t>
      </w:r>
      <w:r>
        <w:rPr>
          <w:szCs w:val="20"/>
        </w:rPr>
        <w:t xml:space="preserve">published, </w:t>
      </w:r>
      <w:r w:rsidRPr="002C0899">
        <w:rPr>
          <w:szCs w:val="20"/>
        </w:rPr>
        <w:t xml:space="preserve">since the first </w:t>
      </w:r>
      <w:r>
        <w:rPr>
          <w:szCs w:val="20"/>
        </w:rPr>
        <w:t xml:space="preserve">edition </w:t>
      </w:r>
      <w:r w:rsidRPr="002C0899">
        <w:rPr>
          <w:szCs w:val="20"/>
        </w:rPr>
        <w:t xml:space="preserve">by </w:t>
      </w:r>
      <w:proofErr w:type="spellStart"/>
      <w:r w:rsidRPr="002C0899">
        <w:rPr>
          <w:szCs w:val="20"/>
        </w:rPr>
        <w:t>Breitkopf</w:t>
      </w:r>
      <w:proofErr w:type="spellEnd"/>
      <w:r w:rsidRPr="002C0899">
        <w:rPr>
          <w:szCs w:val="20"/>
        </w:rPr>
        <w:t xml:space="preserve"> and </w:t>
      </w:r>
      <w:proofErr w:type="spellStart"/>
      <w:r w:rsidRPr="002C0899">
        <w:rPr>
          <w:szCs w:val="20"/>
        </w:rPr>
        <w:t>Härtel</w:t>
      </w:r>
      <w:proofErr w:type="spellEnd"/>
      <w:r w:rsidRPr="002C0899">
        <w:rPr>
          <w:szCs w:val="20"/>
        </w:rPr>
        <w:t xml:space="preserve"> grouped them as five</w:t>
      </w:r>
      <w:r>
        <w:rPr>
          <w:szCs w:val="20"/>
        </w:rPr>
        <w:t xml:space="preserve"> sets of divertimenti.  It is also possible they could have been twenty-five pieces to be performed randomly</w:t>
      </w:r>
      <w:r w:rsidRPr="002C0899">
        <w:rPr>
          <w:szCs w:val="20"/>
        </w:rPr>
        <w:t>.  It is also unknown whether there is supposed to be a sixth set of five arrangements from Mozart’s operas that were also a</w:t>
      </w:r>
      <w:r>
        <w:rPr>
          <w:szCs w:val="20"/>
        </w:rPr>
        <w:t xml:space="preserve"> </w:t>
      </w:r>
      <w:r w:rsidRPr="002C0899">
        <w:rPr>
          <w:szCs w:val="20"/>
        </w:rPr>
        <w:t>part of the first published edition.</w:t>
      </w:r>
      <w:r w:rsidRPr="002C0899">
        <w:rPr>
          <w:rStyle w:val="FootnoteReference"/>
          <w:szCs w:val="20"/>
        </w:rPr>
        <w:footnoteReference w:id="30"/>
      </w:r>
      <w:r w:rsidRPr="002C0899">
        <w:rPr>
          <w:szCs w:val="20"/>
        </w:rPr>
        <w:t xml:space="preserve">  Another controversy involves a dating error where</w:t>
      </w:r>
      <w:r>
        <w:rPr>
          <w:szCs w:val="20"/>
        </w:rPr>
        <w:t xml:space="preserve"> </w:t>
      </w:r>
      <w:r w:rsidRPr="002C0899">
        <w:rPr>
          <w:szCs w:val="20"/>
        </w:rPr>
        <w:t xml:space="preserve">the original </w:t>
      </w:r>
      <w:proofErr w:type="spellStart"/>
      <w:r w:rsidRPr="002C0899">
        <w:rPr>
          <w:szCs w:val="20"/>
        </w:rPr>
        <w:t>Köchel</w:t>
      </w:r>
      <w:proofErr w:type="spellEnd"/>
      <w:r w:rsidRPr="002C0899">
        <w:rPr>
          <w:szCs w:val="20"/>
        </w:rPr>
        <w:t xml:space="preserve"> catalogue included them at the end of the </w:t>
      </w:r>
      <w:proofErr w:type="spellStart"/>
      <w:r w:rsidRPr="00D90808">
        <w:rPr>
          <w:i/>
          <w:szCs w:val="20"/>
        </w:rPr>
        <w:t>Notturni</w:t>
      </w:r>
      <w:proofErr w:type="spellEnd"/>
      <w:r>
        <w:rPr>
          <w:i/>
          <w:szCs w:val="20"/>
        </w:rPr>
        <w:t>,</w:t>
      </w:r>
      <w:r w:rsidRPr="002C0899">
        <w:rPr>
          <w:szCs w:val="20"/>
        </w:rPr>
        <w:t xml:space="preserve"> K. 436-439, which are from 1783.  </w:t>
      </w:r>
      <w:proofErr w:type="spellStart"/>
      <w:r w:rsidRPr="002C0899">
        <w:rPr>
          <w:szCs w:val="20"/>
        </w:rPr>
        <w:t>Wyzema</w:t>
      </w:r>
      <w:proofErr w:type="spellEnd"/>
      <w:r w:rsidRPr="002C0899">
        <w:rPr>
          <w:szCs w:val="20"/>
        </w:rPr>
        <w:t xml:space="preserve"> and Saint-</w:t>
      </w:r>
      <w:proofErr w:type="spellStart"/>
      <w:r w:rsidRPr="002C0899">
        <w:rPr>
          <w:szCs w:val="20"/>
        </w:rPr>
        <w:t>Foix</w:t>
      </w:r>
      <w:proofErr w:type="spellEnd"/>
      <w:r w:rsidRPr="002C0899">
        <w:rPr>
          <w:szCs w:val="20"/>
        </w:rPr>
        <w:t xml:space="preserve"> would then date these for 1786.</w:t>
      </w:r>
      <w:r w:rsidRPr="002C0899">
        <w:rPr>
          <w:rStyle w:val="FootnoteReference"/>
          <w:szCs w:val="20"/>
        </w:rPr>
        <w:footnoteReference w:id="31"/>
      </w:r>
    </w:p>
    <w:p w:rsidR="000149AC" w:rsidRDefault="000149AC" w:rsidP="000149AC">
      <w:pPr>
        <w:spacing w:line="480" w:lineRule="auto"/>
        <w:ind w:firstLine="720"/>
        <w:rPr>
          <w:szCs w:val="20"/>
        </w:rPr>
      </w:pPr>
      <w:r w:rsidRPr="002C0899">
        <w:rPr>
          <w:szCs w:val="20"/>
        </w:rPr>
        <w:t>A</w:t>
      </w:r>
      <w:r>
        <w:rPr>
          <w:szCs w:val="20"/>
        </w:rPr>
        <w:t xml:space="preserve"> further</w:t>
      </w:r>
      <w:r w:rsidRPr="002C0899">
        <w:rPr>
          <w:szCs w:val="20"/>
        </w:rPr>
        <w:t xml:space="preserve"> controversy involves whether these divertimenti are of Masonic influence.  </w:t>
      </w:r>
      <w:r>
        <w:rPr>
          <w:szCs w:val="20"/>
        </w:rPr>
        <w:t>In t</w:t>
      </w:r>
      <w:r w:rsidRPr="002C0899">
        <w:rPr>
          <w:szCs w:val="20"/>
        </w:rPr>
        <w:t>he</w:t>
      </w:r>
      <w:r w:rsidRPr="00087E6F">
        <w:rPr>
          <w:szCs w:val="20"/>
        </w:rPr>
        <w:t xml:space="preserve"> </w:t>
      </w:r>
      <w:r w:rsidRPr="002C0899">
        <w:rPr>
          <w:szCs w:val="20"/>
        </w:rPr>
        <w:t>flowing lines</w:t>
      </w:r>
      <w:r>
        <w:rPr>
          <w:szCs w:val="20"/>
        </w:rPr>
        <w:t xml:space="preserve"> of the</w:t>
      </w:r>
      <w:r w:rsidRPr="002C0899">
        <w:rPr>
          <w:szCs w:val="20"/>
        </w:rPr>
        <w:t xml:space="preserve"> </w:t>
      </w:r>
      <w:r>
        <w:rPr>
          <w:szCs w:val="20"/>
        </w:rPr>
        <w:t xml:space="preserve">multiple </w:t>
      </w:r>
      <w:r w:rsidRPr="002C0899">
        <w:rPr>
          <w:szCs w:val="20"/>
        </w:rPr>
        <w:t>slow movements, a Masonic character</w:t>
      </w:r>
      <w:r>
        <w:rPr>
          <w:szCs w:val="20"/>
        </w:rPr>
        <w:t xml:space="preserve"> is certainly applied and is</w:t>
      </w:r>
      <w:r w:rsidRPr="002C0899">
        <w:rPr>
          <w:szCs w:val="20"/>
        </w:rPr>
        <w:t xml:space="preserve"> comparable to the </w:t>
      </w:r>
      <w:r>
        <w:rPr>
          <w:i/>
          <w:szCs w:val="20"/>
        </w:rPr>
        <w:t>A</w:t>
      </w:r>
      <w:r w:rsidRPr="00D90808">
        <w:rPr>
          <w:i/>
          <w:szCs w:val="20"/>
        </w:rPr>
        <w:t>dagio</w:t>
      </w:r>
      <w:r>
        <w:rPr>
          <w:i/>
          <w:szCs w:val="20"/>
        </w:rPr>
        <w:t>,</w:t>
      </w:r>
      <w:r w:rsidRPr="002C0899">
        <w:rPr>
          <w:szCs w:val="20"/>
        </w:rPr>
        <w:t xml:space="preserve"> </w:t>
      </w:r>
      <w:r>
        <w:rPr>
          <w:szCs w:val="20"/>
        </w:rPr>
        <w:t xml:space="preserve">K. </w:t>
      </w:r>
      <w:r w:rsidRPr="002C0899">
        <w:rPr>
          <w:szCs w:val="20"/>
        </w:rPr>
        <w:t>411.</w:t>
      </w:r>
      <w:r w:rsidRPr="002C0899">
        <w:rPr>
          <w:rStyle w:val="FootnoteReference"/>
          <w:szCs w:val="20"/>
        </w:rPr>
        <w:footnoteReference w:id="32"/>
      </w:r>
      <w:r w:rsidRPr="002C0899">
        <w:rPr>
          <w:szCs w:val="20"/>
        </w:rPr>
        <w:t xml:space="preserve">  The slow second melodic line supports the march of the brothers, as they would proceed during an opening or closing of a Lodge.  Melody interruptions by silences correspond precisely to the i</w:t>
      </w:r>
      <w:r>
        <w:rPr>
          <w:szCs w:val="20"/>
        </w:rPr>
        <w:t xml:space="preserve">nterruptions in the procession.  Most likely these pieces </w:t>
      </w:r>
      <w:proofErr w:type="gramStart"/>
      <w:r>
        <w:rPr>
          <w:szCs w:val="20"/>
        </w:rPr>
        <w:t>were not intended to be performed</w:t>
      </w:r>
      <w:proofErr w:type="gramEnd"/>
      <w:r>
        <w:rPr>
          <w:szCs w:val="20"/>
        </w:rPr>
        <w:t xml:space="preserve"> for larger audiences but rather were probably intended as gifts to remain among friends and masonry brothers.  Mozart probably would be delighted to know that these divertimenti are sometimes unearthed and performed in Lodges, as Mozart probably intended.</w:t>
      </w:r>
      <w:r w:rsidRPr="00566227">
        <w:rPr>
          <w:rStyle w:val="FootnoteReference"/>
          <w:szCs w:val="20"/>
        </w:rPr>
        <w:t xml:space="preserve"> </w:t>
      </w:r>
      <w:r w:rsidRPr="00566227">
        <w:rPr>
          <w:rStyle w:val="FootnoteReference"/>
          <w:szCs w:val="20"/>
        </w:rPr>
        <w:footnoteReference w:id="33"/>
      </w:r>
      <w:r>
        <w:rPr>
          <w:szCs w:val="20"/>
        </w:rPr>
        <w:t xml:space="preserve">  </w:t>
      </w:r>
    </w:p>
    <w:p w:rsidR="000149AC" w:rsidRDefault="000149AC"/>
    <w:sectPr w:rsidR="000149AC" w:rsidSect="008228C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9AC" w:rsidRDefault="000149AC" w:rsidP="000149AC">
      <w:r>
        <w:separator/>
      </w:r>
    </w:p>
  </w:endnote>
  <w:endnote w:type="continuationSeparator" w:id="0">
    <w:p w:rsidR="000149AC" w:rsidRDefault="000149AC" w:rsidP="00014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9AC" w:rsidRDefault="000149AC" w:rsidP="000149AC">
      <w:r>
        <w:separator/>
      </w:r>
    </w:p>
  </w:footnote>
  <w:footnote w:type="continuationSeparator" w:id="0">
    <w:p w:rsidR="000149AC" w:rsidRDefault="000149AC" w:rsidP="000149AC">
      <w:r>
        <w:continuationSeparator/>
      </w:r>
    </w:p>
  </w:footnote>
  <w:footnote w:id="1">
    <w:p w:rsidR="000149AC" w:rsidRPr="008D562E" w:rsidRDefault="000149AC" w:rsidP="000149AC">
      <w:pPr>
        <w:pStyle w:val="FootnoteText"/>
        <w:ind w:firstLine="720"/>
      </w:pPr>
      <w:r w:rsidRPr="008D562E">
        <w:rPr>
          <w:rStyle w:val="FootnoteReference"/>
        </w:rPr>
        <w:footnoteRef/>
      </w:r>
      <w:r w:rsidRPr="008D562E">
        <w:t xml:space="preserve"> Martha Kingdom Ward, “Mozart and the Clarinet,” </w:t>
      </w:r>
      <w:r w:rsidRPr="008D562E">
        <w:rPr>
          <w:i/>
        </w:rPr>
        <w:t>Music and Letters</w:t>
      </w:r>
      <w:r w:rsidRPr="008D562E">
        <w:t xml:space="preserve"> 28, no. 2 (April 1947): 126, http://www.jstor.org/stable/855526 (accessed April 20, 2009). </w:t>
      </w:r>
    </w:p>
  </w:footnote>
  <w:footnote w:id="2">
    <w:p w:rsidR="000149AC" w:rsidRPr="008D562E" w:rsidRDefault="000149AC" w:rsidP="000149AC">
      <w:pPr>
        <w:pStyle w:val="FootnoteText"/>
        <w:ind w:firstLine="720"/>
      </w:pPr>
      <w:r w:rsidRPr="008D562E">
        <w:rPr>
          <w:rStyle w:val="FootnoteReference"/>
        </w:rPr>
        <w:footnoteRef/>
      </w:r>
      <w:r w:rsidRPr="008D562E">
        <w:t xml:space="preserve"> Mozart, Wolfgang Amadeus Mozart, </w:t>
      </w:r>
      <w:r>
        <w:rPr>
          <w:i/>
          <w:szCs w:val="20"/>
        </w:rPr>
        <w:t xml:space="preserve">NMA: III/9, </w:t>
      </w:r>
      <w:r>
        <w:rPr>
          <w:szCs w:val="20"/>
        </w:rPr>
        <w:t xml:space="preserve">141, </w:t>
      </w:r>
      <w:r w:rsidRPr="008D562E">
        <w:rPr>
          <w:szCs w:val="20"/>
        </w:rPr>
        <w:t xml:space="preserve">http://dme.mozarteum.at/DME/nma/nmapub_srch.php?l=2 </w:t>
      </w:r>
      <w:r>
        <w:rPr>
          <w:szCs w:val="20"/>
        </w:rPr>
        <w:t>(</w:t>
      </w:r>
      <w:r w:rsidRPr="008D562E">
        <w:rPr>
          <w:szCs w:val="20"/>
        </w:rPr>
        <w:t>accessed Nov. 1, 2009</w:t>
      </w:r>
      <w:r>
        <w:rPr>
          <w:szCs w:val="20"/>
        </w:rPr>
        <w:t>).</w:t>
      </w:r>
    </w:p>
  </w:footnote>
  <w:footnote w:id="3">
    <w:p w:rsidR="000149AC" w:rsidRPr="008D562E" w:rsidRDefault="000149AC" w:rsidP="000149AC">
      <w:pPr>
        <w:pStyle w:val="FootnoteText"/>
        <w:ind w:firstLine="720"/>
      </w:pPr>
      <w:r w:rsidRPr="008D562E">
        <w:rPr>
          <w:rStyle w:val="FootnoteReference"/>
        </w:rPr>
        <w:footnoteRef/>
      </w:r>
      <w:r w:rsidRPr="008D562E">
        <w:t xml:space="preserve"> </w:t>
      </w:r>
      <w:r>
        <w:t>Ibid.</w:t>
      </w:r>
    </w:p>
  </w:footnote>
  <w:footnote w:id="4">
    <w:p w:rsidR="000149AC" w:rsidRPr="008D562E" w:rsidRDefault="000149AC" w:rsidP="000149AC">
      <w:pPr>
        <w:pStyle w:val="FootnoteText"/>
        <w:ind w:firstLine="720"/>
      </w:pPr>
      <w:r w:rsidRPr="008D562E">
        <w:rPr>
          <w:rStyle w:val="FootnoteReference"/>
        </w:rPr>
        <w:footnoteRef/>
      </w:r>
      <w:r>
        <w:t xml:space="preserve"> Ibid</w:t>
      </w:r>
      <w:proofErr w:type="gramStart"/>
      <w:r>
        <w:t>.,</w:t>
      </w:r>
      <w:proofErr w:type="gramEnd"/>
      <w:r w:rsidRPr="008D562E">
        <w:t xml:space="preserve"> 165.</w:t>
      </w:r>
    </w:p>
  </w:footnote>
  <w:footnote w:id="5">
    <w:p w:rsidR="000149AC" w:rsidRDefault="000149AC" w:rsidP="000149AC">
      <w:pPr>
        <w:pStyle w:val="FootnoteText"/>
        <w:ind w:firstLine="720"/>
      </w:pPr>
      <w:r>
        <w:rPr>
          <w:rStyle w:val="FootnoteReference"/>
        </w:rPr>
        <w:footnoteRef/>
      </w:r>
      <w:r>
        <w:t xml:space="preserve"> </w:t>
      </w:r>
      <w:r w:rsidRPr="008D562E">
        <w:t xml:space="preserve">Stanley, Sadie. </w:t>
      </w:r>
      <w:r w:rsidRPr="008D562E">
        <w:rPr>
          <w:i/>
        </w:rPr>
        <w:t>The New Grove: Mozart</w:t>
      </w:r>
      <w:r w:rsidRPr="008D562E">
        <w:t xml:space="preserve"> (New York: WW Norton, 1983), 99.</w:t>
      </w:r>
    </w:p>
  </w:footnote>
  <w:footnote w:id="6">
    <w:p w:rsidR="000149AC" w:rsidRDefault="000149AC" w:rsidP="000149AC">
      <w:pPr>
        <w:pStyle w:val="FootnoteText"/>
        <w:ind w:firstLine="720"/>
      </w:pPr>
      <w:r>
        <w:rPr>
          <w:rStyle w:val="FootnoteReference"/>
        </w:rPr>
        <w:footnoteRef/>
      </w:r>
      <w:r>
        <w:t xml:space="preserve"> </w:t>
      </w:r>
      <w:r w:rsidRPr="008D562E">
        <w:t xml:space="preserve">Daniel N. </w:t>
      </w:r>
      <w:proofErr w:type="spellStart"/>
      <w:r w:rsidRPr="008D562E">
        <w:t>Leeson</w:t>
      </w:r>
      <w:proofErr w:type="spellEnd"/>
      <w:r w:rsidRPr="008D562E">
        <w:t xml:space="preserve">, </w:t>
      </w:r>
      <w:r w:rsidRPr="008D562E">
        <w:rPr>
          <w:i/>
        </w:rPr>
        <w:t xml:space="preserve">gran </w:t>
      </w:r>
      <w:proofErr w:type="spellStart"/>
      <w:r w:rsidRPr="008D562E">
        <w:rPr>
          <w:i/>
        </w:rPr>
        <w:t>Partitta</w:t>
      </w:r>
      <w:proofErr w:type="spellEnd"/>
      <w:r w:rsidRPr="008D562E">
        <w:rPr>
          <w:i/>
        </w:rPr>
        <w:t xml:space="preserve">: a book about Mozart’s Serenade in B-flat, K361 for 12 Wind Instruments and String Bass </w:t>
      </w:r>
      <w:r w:rsidRPr="008D562E">
        <w:t>(Bloomin</w:t>
      </w:r>
      <w:r>
        <w:t xml:space="preserve">gton, IN: </w:t>
      </w:r>
      <w:proofErr w:type="spellStart"/>
      <w:r>
        <w:t>AuthorHouse</w:t>
      </w:r>
      <w:proofErr w:type="spellEnd"/>
      <w:r>
        <w:t>, 2009), 51</w:t>
      </w:r>
      <w:r w:rsidRPr="008D562E">
        <w:t>.</w:t>
      </w:r>
    </w:p>
  </w:footnote>
  <w:footnote w:id="7">
    <w:p w:rsidR="000149AC" w:rsidRPr="00001A95" w:rsidRDefault="000149AC" w:rsidP="000149AC">
      <w:pPr>
        <w:pStyle w:val="FootnoteText"/>
        <w:ind w:firstLine="720"/>
      </w:pPr>
      <w:r>
        <w:rPr>
          <w:rStyle w:val="FootnoteReference"/>
        </w:rPr>
        <w:footnoteRef/>
      </w:r>
      <w:r>
        <w:t xml:space="preserve"> </w:t>
      </w:r>
      <w:r w:rsidRPr="008D562E">
        <w:t xml:space="preserve">Ulrich </w:t>
      </w:r>
      <w:proofErr w:type="spellStart"/>
      <w:r w:rsidRPr="008D562E">
        <w:t>Konrad</w:t>
      </w:r>
      <w:proofErr w:type="spellEnd"/>
      <w:r w:rsidRPr="008D562E">
        <w:t xml:space="preserve">, </w:t>
      </w:r>
      <w:r w:rsidRPr="008D562E">
        <w:rPr>
          <w:i/>
        </w:rPr>
        <w:t xml:space="preserve">Mozart: </w:t>
      </w:r>
      <w:proofErr w:type="spellStart"/>
      <w:r w:rsidRPr="008D562E">
        <w:rPr>
          <w:i/>
        </w:rPr>
        <w:t>Catologue</w:t>
      </w:r>
      <w:proofErr w:type="spellEnd"/>
      <w:r w:rsidRPr="008D562E">
        <w:rPr>
          <w:i/>
        </w:rPr>
        <w:t xml:space="preserve"> of his Works, </w:t>
      </w:r>
      <w:r w:rsidRPr="008D562E">
        <w:t xml:space="preserve">Trans. J. Bradford Robinson, (London: </w:t>
      </w:r>
      <w:proofErr w:type="spellStart"/>
      <w:r w:rsidRPr="008D562E">
        <w:t>Bärenreiter</w:t>
      </w:r>
      <w:proofErr w:type="spellEnd"/>
      <w:r w:rsidRPr="008D562E">
        <w:t xml:space="preserve"> 2006)</w:t>
      </w:r>
      <w:r>
        <w:t>, 102-103.</w:t>
      </w:r>
    </w:p>
  </w:footnote>
  <w:footnote w:id="8">
    <w:p w:rsidR="000149AC" w:rsidRPr="008D562E" w:rsidRDefault="000149AC" w:rsidP="000149AC">
      <w:pPr>
        <w:ind w:firstLine="720"/>
      </w:pPr>
      <w:r w:rsidRPr="008D562E">
        <w:rPr>
          <w:rStyle w:val="FootnoteReference"/>
        </w:rPr>
        <w:footnoteRef/>
      </w:r>
      <w:r w:rsidRPr="008D562E">
        <w:t xml:space="preserve"> Sadie. </w:t>
      </w:r>
      <w:proofErr w:type="gramStart"/>
      <w:r>
        <w:rPr>
          <w:i/>
        </w:rPr>
        <w:t>New Grove</w:t>
      </w:r>
      <w:r>
        <w:t xml:space="preserve">, </w:t>
      </w:r>
      <w:r w:rsidRPr="008D562E">
        <w:t>99.</w:t>
      </w:r>
      <w:proofErr w:type="gramEnd"/>
    </w:p>
  </w:footnote>
  <w:footnote w:id="9">
    <w:p w:rsidR="000149AC" w:rsidRPr="008D562E" w:rsidRDefault="000149AC" w:rsidP="000149AC">
      <w:pPr>
        <w:pStyle w:val="FootnoteText"/>
        <w:ind w:firstLine="720"/>
      </w:pPr>
      <w:r w:rsidRPr="008D562E">
        <w:rPr>
          <w:rStyle w:val="FootnoteReference"/>
        </w:rPr>
        <w:footnoteRef/>
      </w:r>
      <w:r w:rsidRPr="008D562E">
        <w:t xml:space="preserve"> Neal </w:t>
      </w:r>
      <w:proofErr w:type="spellStart"/>
      <w:r w:rsidRPr="008D562E">
        <w:t>Zaslaw</w:t>
      </w:r>
      <w:proofErr w:type="spellEnd"/>
      <w:r w:rsidRPr="008D562E">
        <w:t xml:space="preserve"> and William </w:t>
      </w:r>
      <w:proofErr w:type="spellStart"/>
      <w:r w:rsidRPr="008D562E">
        <w:t>Cowdery</w:t>
      </w:r>
      <w:proofErr w:type="spellEnd"/>
      <w:r w:rsidRPr="008D562E">
        <w:t xml:space="preserve"> ed., </w:t>
      </w:r>
      <w:r w:rsidRPr="008D562E">
        <w:rPr>
          <w:i/>
        </w:rPr>
        <w:t xml:space="preserve">The </w:t>
      </w:r>
      <w:proofErr w:type="spellStart"/>
      <w:r w:rsidRPr="008D562E">
        <w:rPr>
          <w:i/>
        </w:rPr>
        <w:t>Compleat</w:t>
      </w:r>
      <w:proofErr w:type="spellEnd"/>
      <w:r w:rsidRPr="008D562E">
        <w:rPr>
          <w:i/>
        </w:rPr>
        <w:t xml:space="preserve"> Mozart: a Guide to the Musical Works of Wolfgang Amadeus Mozart,</w:t>
      </w:r>
      <w:r w:rsidRPr="008D562E">
        <w:t xml:space="preserve"> (New York: W. W. Norton, 1990), 248.</w:t>
      </w:r>
    </w:p>
  </w:footnote>
  <w:footnote w:id="10">
    <w:p w:rsidR="000149AC" w:rsidRPr="008D562E" w:rsidRDefault="000149AC" w:rsidP="000149AC">
      <w:pPr>
        <w:pStyle w:val="FootnoteText"/>
        <w:ind w:firstLine="720"/>
      </w:pPr>
      <w:r w:rsidRPr="008D562E">
        <w:rPr>
          <w:rStyle w:val="FootnoteReference"/>
        </w:rPr>
        <w:footnoteRef/>
      </w:r>
      <w:r>
        <w:t xml:space="preserve"> </w:t>
      </w:r>
      <w:proofErr w:type="spellStart"/>
      <w:proofErr w:type="gramStart"/>
      <w:r w:rsidRPr="008D562E">
        <w:t>Leeson</w:t>
      </w:r>
      <w:proofErr w:type="spellEnd"/>
      <w:r w:rsidRPr="008D562E">
        <w:t xml:space="preserve">, </w:t>
      </w:r>
      <w:r w:rsidRPr="008D562E">
        <w:rPr>
          <w:i/>
        </w:rPr>
        <w:t xml:space="preserve">gran </w:t>
      </w:r>
      <w:proofErr w:type="spellStart"/>
      <w:r w:rsidRPr="008D562E">
        <w:rPr>
          <w:i/>
        </w:rPr>
        <w:t>Partitta</w:t>
      </w:r>
      <w:proofErr w:type="spellEnd"/>
      <w:r>
        <w:t>, 41</w:t>
      </w:r>
      <w:r w:rsidRPr="008D562E">
        <w:t>.</w:t>
      </w:r>
      <w:proofErr w:type="gramEnd"/>
    </w:p>
  </w:footnote>
  <w:footnote w:id="11">
    <w:p w:rsidR="000149AC" w:rsidRPr="008D562E" w:rsidRDefault="000149AC" w:rsidP="000149AC">
      <w:pPr>
        <w:ind w:firstLine="720"/>
      </w:pPr>
      <w:r w:rsidRPr="008D562E">
        <w:rPr>
          <w:rStyle w:val="FootnoteReference"/>
        </w:rPr>
        <w:footnoteRef/>
      </w:r>
      <w:r w:rsidRPr="008D562E">
        <w:t xml:space="preserve"> </w:t>
      </w:r>
      <w:r>
        <w:t xml:space="preserve">Sadie, </w:t>
      </w:r>
      <w:r>
        <w:rPr>
          <w:i/>
        </w:rPr>
        <w:t>New Grove</w:t>
      </w:r>
      <w:r>
        <w:t>, 76.</w:t>
      </w:r>
    </w:p>
  </w:footnote>
  <w:footnote w:id="12">
    <w:p w:rsidR="000149AC" w:rsidRPr="008D562E" w:rsidRDefault="000149AC" w:rsidP="000149AC">
      <w:pPr>
        <w:pStyle w:val="FootnoteText"/>
        <w:ind w:firstLine="720"/>
      </w:pPr>
      <w:r w:rsidRPr="008D562E">
        <w:rPr>
          <w:rStyle w:val="FootnoteReference"/>
        </w:rPr>
        <w:footnoteRef/>
      </w:r>
      <w:r w:rsidRPr="008D562E">
        <w:t xml:space="preserve"> </w:t>
      </w:r>
      <w:proofErr w:type="spellStart"/>
      <w:r w:rsidRPr="008D562E">
        <w:t>Zaslaw</w:t>
      </w:r>
      <w:proofErr w:type="spellEnd"/>
      <w:r w:rsidRPr="008D562E">
        <w:t xml:space="preserve">, </w:t>
      </w:r>
      <w:proofErr w:type="spellStart"/>
      <w:r w:rsidRPr="008D562E">
        <w:rPr>
          <w:i/>
        </w:rPr>
        <w:t>Compleat</w:t>
      </w:r>
      <w:proofErr w:type="spellEnd"/>
      <w:r w:rsidRPr="008D562E">
        <w:t>, 248.</w:t>
      </w:r>
    </w:p>
  </w:footnote>
  <w:footnote w:id="13">
    <w:p w:rsidR="000149AC" w:rsidRPr="008D562E" w:rsidRDefault="000149AC" w:rsidP="000149AC">
      <w:pPr>
        <w:pStyle w:val="FootnoteText"/>
        <w:ind w:firstLine="720"/>
      </w:pPr>
      <w:r w:rsidRPr="008D562E">
        <w:rPr>
          <w:rStyle w:val="FootnoteReference"/>
        </w:rPr>
        <w:footnoteRef/>
      </w:r>
      <w:r>
        <w:t xml:space="preserve"> </w:t>
      </w:r>
      <w:proofErr w:type="spellStart"/>
      <w:proofErr w:type="gramStart"/>
      <w:r w:rsidRPr="008D562E">
        <w:t>Leeson</w:t>
      </w:r>
      <w:proofErr w:type="spellEnd"/>
      <w:r w:rsidRPr="008D562E">
        <w:t xml:space="preserve">, </w:t>
      </w:r>
      <w:r w:rsidRPr="008D562E">
        <w:rPr>
          <w:i/>
        </w:rPr>
        <w:t xml:space="preserve">gran </w:t>
      </w:r>
      <w:proofErr w:type="spellStart"/>
      <w:r w:rsidRPr="008D562E">
        <w:rPr>
          <w:i/>
        </w:rPr>
        <w:t>Partitta</w:t>
      </w:r>
      <w:proofErr w:type="spellEnd"/>
      <w:r>
        <w:rPr>
          <w:i/>
        </w:rPr>
        <w:t xml:space="preserve">, </w:t>
      </w:r>
      <w:r w:rsidRPr="008D562E">
        <w:t>20.</w:t>
      </w:r>
      <w:proofErr w:type="gramEnd"/>
    </w:p>
  </w:footnote>
  <w:footnote w:id="14">
    <w:p w:rsidR="000149AC" w:rsidRPr="008D562E" w:rsidRDefault="000149AC" w:rsidP="000149AC">
      <w:pPr>
        <w:pStyle w:val="FootnoteText"/>
        <w:ind w:firstLine="720"/>
      </w:pPr>
      <w:r w:rsidRPr="008D562E">
        <w:rPr>
          <w:rStyle w:val="FootnoteReference"/>
        </w:rPr>
        <w:footnoteRef/>
      </w:r>
      <w:r w:rsidRPr="008D562E">
        <w:t xml:space="preserve"> </w:t>
      </w:r>
      <w:proofErr w:type="spellStart"/>
      <w:r w:rsidRPr="008D562E">
        <w:t>Zaslaw</w:t>
      </w:r>
      <w:proofErr w:type="spellEnd"/>
      <w:r w:rsidRPr="008D562E">
        <w:t xml:space="preserve">, </w:t>
      </w:r>
      <w:proofErr w:type="spellStart"/>
      <w:r w:rsidRPr="008D562E">
        <w:rPr>
          <w:i/>
        </w:rPr>
        <w:t>Compleat</w:t>
      </w:r>
      <w:proofErr w:type="spellEnd"/>
      <w:r w:rsidRPr="008D562E">
        <w:t>, 248.</w:t>
      </w:r>
    </w:p>
  </w:footnote>
  <w:footnote w:id="15">
    <w:p w:rsidR="000149AC" w:rsidRPr="008D562E" w:rsidRDefault="000149AC" w:rsidP="000149AC">
      <w:pPr>
        <w:pStyle w:val="FootnoteText"/>
        <w:ind w:firstLine="720"/>
      </w:pPr>
      <w:r w:rsidRPr="008D562E">
        <w:rPr>
          <w:rStyle w:val="FootnoteReference"/>
        </w:rPr>
        <w:footnoteRef/>
      </w:r>
      <w:r w:rsidRPr="008D562E">
        <w:t xml:space="preserve"> </w:t>
      </w:r>
      <w:proofErr w:type="spellStart"/>
      <w:proofErr w:type="gramStart"/>
      <w:r w:rsidRPr="008D562E">
        <w:t>Leeson</w:t>
      </w:r>
      <w:proofErr w:type="spellEnd"/>
      <w:r w:rsidRPr="008D562E">
        <w:t xml:space="preserve">, </w:t>
      </w:r>
      <w:r w:rsidRPr="008D562E">
        <w:rPr>
          <w:i/>
        </w:rPr>
        <w:t xml:space="preserve">gran </w:t>
      </w:r>
      <w:proofErr w:type="spellStart"/>
      <w:r w:rsidRPr="008D562E">
        <w:rPr>
          <w:i/>
        </w:rPr>
        <w:t>Partitta</w:t>
      </w:r>
      <w:proofErr w:type="spellEnd"/>
      <w:r w:rsidRPr="008D562E">
        <w:t>, 13.</w:t>
      </w:r>
      <w:proofErr w:type="gramEnd"/>
    </w:p>
  </w:footnote>
  <w:footnote w:id="16">
    <w:p w:rsidR="000149AC" w:rsidRPr="008D562E" w:rsidRDefault="000149AC" w:rsidP="000149AC">
      <w:pPr>
        <w:pStyle w:val="FootnoteText"/>
        <w:ind w:firstLine="720"/>
      </w:pPr>
      <w:r w:rsidRPr="008D562E">
        <w:rPr>
          <w:rStyle w:val="FootnoteReference"/>
        </w:rPr>
        <w:footnoteRef/>
      </w:r>
      <w:r w:rsidRPr="008D562E">
        <w:t xml:space="preserve"> Ibid</w:t>
      </w:r>
      <w:proofErr w:type="gramStart"/>
      <w:r w:rsidRPr="008D562E">
        <w:t>.,</w:t>
      </w:r>
      <w:proofErr w:type="gramEnd"/>
      <w:r w:rsidRPr="008D562E">
        <w:t xml:space="preserve"> 58.</w:t>
      </w:r>
    </w:p>
  </w:footnote>
  <w:footnote w:id="17">
    <w:p w:rsidR="000149AC" w:rsidRPr="008D562E" w:rsidRDefault="000149AC" w:rsidP="000149AC">
      <w:pPr>
        <w:pStyle w:val="FootnoteText"/>
        <w:ind w:firstLine="720"/>
      </w:pPr>
      <w:r w:rsidRPr="008D562E">
        <w:rPr>
          <w:rStyle w:val="FootnoteReference"/>
        </w:rPr>
        <w:footnoteRef/>
      </w:r>
      <w:r w:rsidRPr="008D562E">
        <w:t xml:space="preserve"> </w:t>
      </w:r>
      <w:proofErr w:type="spellStart"/>
      <w:r w:rsidRPr="008D562E">
        <w:t>Zaslaw</w:t>
      </w:r>
      <w:proofErr w:type="spellEnd"/>
      <w:r w:rsidRPr="008D562E">
        <w:t xml:space="preserve">, </w:t>
      </w:r>
      <w:proofErr w:type="spellStart"/>
      <w:r w:rsidRPr="008D562E">
        <w:rPr>
          <w:i/>
        </w:rPr>
        <w:t>Compleat</w:t>
      </w:r>
      <w:proofErr w:type="spellEnd"/>
      <w:r w:rsidRPr="008D562E">
        <w:t>, 248.</w:t>
      </w:r>
    </w:p>
  </w:footnote>
  <w:footnote w:id="18">
    <w:p w:rsidR="000149AC" w:rsidRPr="008D562E" w:rsidRDefault="000149AC" w:rsidP="000149AC">
      <w:pPr>
        <w:ind w:firstLine="720"/>
      </w:pPr>
      <w:r w:rsidRPr="008D562E">
        <w:rPr>
          <w:rStyle w:val="FootnoteReference"/>
        </w:rPr>
        <w:footnoteRef/>
      </w:r>
      <w:r w:rsidRPr="008D562E">
        <w:t xml:space="preserve"> </w:t>
      </w:r>
      <w:proofErr w:type="gramStart"/>
      <w:r>
        <w:t>Lawson</w:t>
      </w:r>
      <w:r w:rsidRPr="008D562E">
        <w:t xml:space="preserve">, </w:t>
      </w:r>
      <w:r>
        <w:rPr>
          <w:i/>
        </w:rPr>
        <w:t xml:space="preserve">Mozart Concerto, </w:t>
      </w:r>
      <w:r w:rsidRPr="008D562E">
        <w:t>19.</w:t>
      </w:r>
      <w:proofErr w:type="gramEnd"/>
    </w:p>
  </w:footnote>
  <w:footnote w:id="19">
    <w:p w:rsidR="000149AC" w:rsidRPr="008D562E" w:rsidRDefault="000149AC" w:rsidP="000149AC">
      <w:pPr>
        <w:pStyle w:val="FootnoteText"/>
        <w:ind w:firstLine="720"/>
      </w:pPr>
      <w:r w:rsidRPr="008D562E">
        <w:rPr>
          <w:rStyle w:val="FootnoteReference"/>
        </w:rPr>
        <w:footnoteRef/>
      </w:r>
      <w:r w:rsidRPr="008D562E">
        <w:t xml:space="preserve"> </w:t>
      </w:r>
      <w:proofErr w:type="spellStart"/>
      <w:r w:rsidRPr="008D562E">
        <w:t>Zaslaw</w:t>
      </w:r>
      <w:proofErr w:type="spellEnd"/>
      <w:r w:rsidRPr="008D562E">
        <w:t xml:space="preserve">, </w:t>
      </w:r>
      <w:proofErr w:type="spellStart"/>
      <w:r w:rsidRPr="008D562E">
        <w:rPr>
          <w:i/>
        </w:rPr>
        <w:t>Compleat</w:t>
      </w:r>
      <w:proofErr w:type="spellEnd"/>
      <w:r w:rsidRPr="008D562E">
        <w:t>, 248.</w:t>
      </w:r>
    </w:p>
  </w:footnote>
  <w:footnote w:id="20">
    <w:p w:rsidR="000149AC" w:rsidRPr="008D562E" w:rsidRDefault="000149AC" w:rsidP="000149AC">
      <w:pPr>
        <w:ind w:firstLine="720"/>
      </w:pPr>
      <w:r w:rsidRPr="008D562E">
        <w:rPr>
          <w:rStyle w:val="FootnoteReference"/>
        </w:rPr>
        <w:footnoteRef/>
      </w:r>
      <w:r w:rsidRPr="008D562E">
        <w:t xml:space="preserve"> </w:t>
      </w:r>
      <w:proofErr w:type="spellStart"/>
      <w:r>
        <w:t>Rendall</w:t>
      </w:r>
      <w:proofErr w:type="spellEnd"/>
      <w:r>
        <w:t xml:space="preserve">, </w:t>
      </w:r>
      <w:r>
        <w:rPr>
          <w:i/>
        </w:rPr>
        <w:t>Clarinet</w:t>
      </w:r>
      <w:r>
        <w:t xml:space="preserve">, </w:t>
      </w:r>
      <w:r w:rsidRPr="008D562E">
        <w:t>82.</w:t>
      </w:r>
    </w:p>
  </w:footnote>
  <w:footnote w:id="21">
    <w:p w:rsidR="000149AC" w:rsidRPr="008D562E" w:rsidRDefault="000149AC" w:rsidP="000149AC">
      <w:pPr>
        <w:ind w:firstLine="720"/>
      </w:pPr>
      <w:r w:rsidRPr="008D562E">
        <w:rPr>
          <w:rStyle w:val="FootnoteReference"/>
        </w:rPr>
        <w:footnoteRef/>
      </w:r>
      <w:r w:rsidRPr="008D562E">
        <w:t xml:space="preserve"> </w:t>
      </w:r>
      <w:proofErr w:type="spellStart"/>
      <w:proofErr w:type="gramStart"/>
      <w:r>
        <w:t>Newhill</w:t>
      </w:r>
      <w:proofErr w:type="spellEnd"/>
      <w:r>
        <w:t xml:space="preserve">, </w:t>
      </w:r>
      <w:r>
        <w:rPr>
          <w:i/>
        </w:rPr>
        <w:t>Basset Horn,</w:t>
      </w:r>
      <w:r w:rsidRPr="008D562E">
        <w:t xml:space="preserve"> 95.</w:t>
      </w:r>
      <w:proofErr w:type="gramEnd"/>
    </w:p>
  </w:footnote>
  <w:footnote w:id="22">
    <w:p w:rsidR="000149AC" w:rsidRPr="008D562E" w:rsidRDefault="000149AC" w:rsidP="000149AC">
      <w:pPr>
        <w:pStyle w:val="FootnoteText"/>
        <w:ind w:firstLine="720"/>
      </w:pPr>
      <w:r w:rsidRPr="008D562E">
        <w:rPr>
          <w:rStyle w:val="FootnoteReference"/>
        </w:rPr>
        <w:footnoteRef/>
      </w:r>
      <w:r w:rsidRPr="008D562E">
        <w:t xml:space="preserve"> </w:t>
      </w:r>
      <w:proofErr w:type="spellStart"/>
      <w:r w:rsidRPr="008D562E">
        <w:t>Zaslaw</w:t>
      </w:r>
      <w:proofErr w:type="spellEnd"/>
      <w:r w:rsidRPr="008D562E">
        <w:t xml:space="preserve">, </w:t>
      </w:r>
      <w:proofErr w:type="spellStart"/>
      <w:r w:rsidRPr="008D562E">
        <w:rPr>
          <w:i/>
        </w:rPr>
        <w:t>Compleat</w:t>
      </w:r>
      <w:proofErr w:type="spellEnd"/>
      <w:r w:rsidRPr="008D562E">
        <w:t>, 248.</w:t>
      </w:r>
    </w:p>
  </w:footnote>
  <w:footnote w:id="23">
    <w:p w:rsidR="000149AC" w:rsidRPr="008D562E" w:rsidRDefault="000149AC" w:rsidP="000149AC">
      <w:pPr>
        <w:pStyle w:val="FootnoteText"/>
        <w:ind w:firstLine="720"/>
      </w:pPr>
      <w:r w:rsidRPr="008D562E">
        <w:rPr>
          <w:rStyle w:val="FootnoteReference"/>
        </w:rPr>
        <w:footnoteRef/>
      </w:r>
      <w:r w:rsidRPr="008D562E">
        <w:t xml:space="preserve"> Sadie, </w:t>
      </w:r>
      <w:r w:rsidRPr="008D562E">
        <w:rPr>
          <w:i/>
        </w:rPr>
        <w:t>New Grove</w:t>
      </w:r>
      <w:r w:rsidRPr="008D562E">
        <w:t>, 99.</w:t>
      </w:r>
    </w:p>
  </w:footnote>
  <w:footnote w:id="24">
    <w:p w:rsidR="000149AC" w:rsidRPr="008D562E" w:rsidRDefault="000149AC" w:rsidP="000149AC">
      <w:pPr>
        <w:pStyle w:val="FootnoteText"/>
        <w:ind w:firstLine="720"/>
      </w:pPr>
      <w:r w:rsidRPr="008D562E">
        <w:rPr>
          <w:rStyle w:val="FootnoteReference"/>
        </w:rPr>
        <w:footnoteRef/>
      </w:r>
      <w:r w:rsidRPr="008D562E">
        <w:t xml:space="preserve"> Mozart, </w:t>
      </w:r>
      <w:r w:rsidRPr="008D562E">
        <w:rPr>
          <w:i/>
          <w:szCs w:val="20"/>
        </w:rPr>
        <w:t>NMA: VIII/21</w:t>
      </w:r>
      <w:r w:rsidRPr="008D562E">
        <w:rPr>
          <w:szCs w:val="20"/>
        </w:rPr>
        <w:t>, 67.</w:t>
      </w:r>
    </w:p>
  </w:footnote>
  <w:footnote w:id="25">
    <w:p w:rsidR="000149AC" w:rsidRDefault="000149AC" w:rsidP="000149AC">
      <w:pPr>
        <w:pStyle w:val="FootnoteText"/>
        <w:ind w:firstLine="720"/>
      </w:pPr>
      <w:r>
        <w:rPr>
          <w:rStyle w:val="FootnoteReference"/>
        </w:rPr>
        <w:footnoteRef/>
      </w:r>
      <w:r>
        <w:t xml:space="preserve"> Ibid.</w:t>
      </w:r>
    </w:p>
  </w:footnote>
  <w:footnote w:id="26">
    <w:p w:rsidR="000149AC" w:rsidRPr="008D562E" w:rsidRDefault="000149AC" w:rsidP="000149AC">
      <w:pPr>
        <w:pStyle w:val="FootnoteText"/>
        <w:ind w:firstLine="720"/>
      </w:pPr>
      <w:r w:rsidRPr="008D562E">
        <w:rPr>
          <w:rStyle w:val="FootnoteReference"/>
        </w:rPr>
        <w:footnoteRef/>
      </w:r>
      <w:r w:rsidRPr="008D562E">
        <w:t xml:space="preserve"> </w:t>
      </w:r>
      <w:proofErr w:type="spellStart"/>
      <w:r w:rsidRPr="008D562E">
        <w:t>Konrad</w:t>
      </w:r>
      <w:proofErr w:type="spellEnd"/>
      <w:r w:rsidRPr="008D562E">
        <w:t xml:space="preserve">, </w:t>
      </w:r>
      <w:r w:rsidRPr="008D562E">
        <w:rPr>
          <w:i/>
        </w:rPr>
        <w:t>Mozart,</w:t>
      </w:r>
      <w:r w:rsidRPr="008D562E">
        <w:t xml:space="preserve"> 102-103.</w:t>
      </w:r>
    </w:p>
  </w:footnote>
  <w:footnote w:id="27">
    <w:p w:rsidR="000149AC" w:rsidRPr="008D562E" w:rsidRDefault="000149AC" w:rsidP="000149AC">
      <w:pPr>
        <w:ind w:firstLine="720"/>
        <w:rPr>
          <w:i/>
        </w:rPr>
      </w:pPr>
      <w:r w:rsidRPr="008D562E">
        <w:rPr>
          <w:rStyle w:val="FootnoteReference"/>
        </w:rPr>
        <w:footnoteRef/>
      </w:r>
      <w:r w:rsidRPr="008D562E">
        <w:t xml:space="preserve"> Pamela L. </w:t>
      </w:r>
      <w:proofErr w:type="spellStart"/>
      <w:r w:rsidRPr="008D562E">
        <w:t>Poulin</w:t>
      </w:r>
      <w:proofErr w:type="spellEnd"/>
      <w:r w:rsidRPr="008D562E">
        <w:t xml:space="preserve">, “A Report on New Information Regarding </w:t>
      </w:r>
      <w:proofErr w:type="spellStart"/>
      <w:r w:rsidRPr="008D562E">
        <w:t>Stadler’s</w:t>
      </w:r>
      <w:proofErr w:type="spellEnd"/>
      <w:r w:rsidRPr="008D562E">
        <w:t xml:space="preserve"> Concert Tour of Europe and Two Early Examples of the Basset Clarinet” in </w:t>
      </w:r>
      <w:proofErr w:type="spellStart"/>
      <w:r w:rsidRPr="008D562E">
        <w:rPr>
          <w:i/>
        </w:rPr>
        <w:t>Bericht</w:t>
      </w:r>
      <w:proofErr w:type="spellEnd"/>
      <w:r w:rsidRPr="008D562E">
        <w:rPr>
          <w:i/>
        </w:rPr>
        <w:t xml:space="preserve"> </w:t>
      </w:r>
      <w:proofErr w:type="spellStart"/>
      <w:r w:rsidRPr="008D562E">
        <w:rPr>
          <w:i/>
        </w:rPr>
        <w:t>über</w:t>
      </w:r>
      <w:proofErr w:type="spellEnd"/>
      <w:r w:rsidRPr="008D562E">
        <w:rPr>
          <w:i/>
        </w:rPr>
        <w:t xml:space="preserve"> den </w:t>
      </w:r>
      <w:proofErr w:type="spellStart"/>
      <w:r w:rsidRPr="008D562E">
        <w:rPr>
          <w:i/>
        </w:rPr>
        <w:t>Internationalen</w:t>
      </w:r>
      <w:proofErr w:type="spellEnd"/>
      <w:r w:rsidRPr="008D562E">
        <w:rPr>
          <w:i/>
        </w:rPr>
        <w:t xml:space="preserve"> Mozart-</w:t>
      </w:r>
      <w:proofErr w:type="spellStart"/>
      <w:r w:rsidRPr="008D562E">
        <w:rPr>
          <w:i/>
        </w:rPr>
        <w:t>Krongreß</w:t>
      </w:r>
      <w:proofErr w:type="spellEnd"/>
      <w:r w:rsidRPr="008D562E">
        <w:rPr>
          <w:i/>
        </w:rPr>
        <w:t xml:space="preserve"> Salzburg 1991, (New York: </w:t>
      </w:r>
      <w:proofErr w:type="spellStart"/>
      <w:r w:rsidRPr="008D562E">
        <w:rPr>
          <w:i/>
        </w:rPr>
        <w:t>Bärenreiter</w:t>
      </w:r>
      <w:proofErr w:type="spellEnd"/>
      <w:r w:rsidRPr="008D562E">
        <w:rPr>
          <w:i/>
        </w:rPr>
        <w:t xml:space="preserve">, 1992), 950.  </w:t>
      </w:r>
    </w:p>
  </w:footnote>
  <w:footnote w:id="28">
    <w:p w:rsidR="000149AC" w:rsidRPr="008D562E" w:rsidRDefault="000149AC" w:rsidP="000149AC">
      <w:pPr>
        <w:pStyle w:val="FootnoteText"/>
        <w:ind w:firstLine="720"/>
      </w:pPr>
      <w:r w:rsidRPr="008D562E">
        <w:rPr>
          <w:rStyle w:val="FootnoteReference"/>
        </w:rPr>
        <w:footnoteRef/>
      </w:r>
      <w:r w:rsidRPr="008D562E">
        <w:t xml:space="preserve"> </w:t>
      </w:r>
      <w:proofErr w:type="spellStart"/>
      <w:r w:rsidRPr="008D562E">
        <w:t>Zaslaw</w:t>
      </w:r>
      <w:proofErr w:type="spellEnd"/>
      <w:r w:rsidRPr="008D562E">
        <w:t xml:space="preserve">, </w:t>
      </w:r>
      <w:proofErr w:type="spellStart"/>
      <w:r w:rsidRPr="008D562E">
        <w:rPr>
          <w:i/>
        </w:rPr>
        <w:t>Compleat</w:t>
      </w:r>
      <w:proofErr w:type="spellEnd"/>
      <w:r w:rsidRPr="008D562E">
        <w:t>, 247.</w:t>
      </w:r>
    </w:p>
  </w:footnote>
  <w:footnote w:id="29">
    <w:p w:rsidR="000149AC" w:rsidRPr="008D562E" w:rsidRDefault="000149AC" w:rsidP="000149AC">
      <w:pPr>
        <w:pStyle w:val="FootnoteText"/>
        <w:ind w:firstLine="720"/>
      </w:pPr>
      <w:r w:rsidRPr="008D562E">
        <w:rPr>
          <w:rStyle w:val="FootnoteReference"/>
        </w:rPr>
        <w:footnoteRef/>
      </w:r>
      <w:r w:rsidRPr="008D562E">
        <w:t xml:space="preserve"> </w:t>
      </w:r>
      <w:proofErr w:type="spellStart"/>
      <w:proofErr w:type="gramStart"/>
      <w:r w:rsidRPr="008D562E">
        <w:t>Newhill</w:t>
      </w:r>
      <w:proofErr w:type="spellEnd"/>
      <w:r w:rsidRPr="008D562E">
        <w:t xml:space="preserve">, </w:t>
      </w:r>
      <w:r w:rsidRPr="008D562E">
        <w:rPr>
          <w:i/>
        </w:rPr>
        <w:t>Basset Horn</w:t>
      </w:r>
      <w:r w:rsidRPr="008D562E">
        <w:t>, 76.</w:t>
      </w:r>
      <w:proofErr w:type="gramEnd"/>
    </w:p>
  </w:footnote>
  <w:footnote w:id="30">
    <w:p w:rsidR="000149AC" w:rsidRPr="008D562E" w:rsidRDefault="000149AC" w:rsidP="000149AC">
      <w:pPr>
        <w:pStyle w:val="FootnoteText"/>
        <w:ind w:firstLine="720"/>
      </w:pPr>
      <w:r w:rsidRPr="008D562E">
        <w:rPr>
          <w:rStyle w:val="FootnoteReference"/>
        </w:rPr>
        <w:footnoteRef/>
      </w:r>
      <w:r w:rsidRPr="008D562E">
        <w:t xml:space="preserve"> Trio di </w:t>
      </w:r>
      <w:proofErr w:type="spellStart"/>
      <w:r w:rsidRPr="008D562E">
        <w:t>Clarone</w:t>
      </w:r>
      <w:proofErr w:type="spellEnd"/>
      <w:r w:rsidRPr="008D562E">
        <w:t xml:space="preserve">, “Forward” in </w:t>
      </w:r>
      <w:r w:rsidRPr="008D562E">
        <w:rPr>
          <w:i/>
        </w:rPr>
        <w:t>Five Divertimenti for Three Basset Horns</w:t>
      </w:r>
      <w:r w:rsidRPr="008D562E">
        <w:t xml:space="preserve"> by Wolfgang Amadeus Mozart, (</w:t>
      </w:r>
      <w:proofErr w:type="spellStart"/>
      <w:r w:rsidRPr="008D562E">
        <w:t>Wedemark</w:t>
      </w:r>
      <w:proofErr w:type="spellEnd"/>
      <w:r w:rsidRPr="008D562E">
        <w:t>/</w:t>
      </w:r>
      <w:proofErr w:type="spellStart"/>
      <w:r w:rsidRPr="008D562E">
        <w:t>Iffezheim</w:t>
      </w:r>
      <w:proofErr w:type="spellEnd"/>
      <w:r w:rsidRPr="008D562E">
        <w:t xml:space="preserve">: </w:t>
      </w:r>
      <w:proofErr w:type="spellStart"/>
      <w:r w:rsidRPr="008D562E">
        <w:t>Breitkopf</w:t>
      </w:r>
      <w:proofErr w:type="spellEnd"/>
      <w:r w:rsidRPr="008D562E">
        <w:t xml:space="preserve"> and </w:t>
      </w:r>
      <w:proofErr w:type="spellStart"/>
      <w:r w:rsidRPr="008D562E">
        <w:t>Härtel</w:t>
      </w:r>
      <w:proofErr w:type="spellEnd"/>
      <w:r w:rsidRPr="008D562E">
        <w:t xml:space="preserve">, 1987).  </w:t>
      </w:r>
    </w:p>
  </w:footnote>
  <w:footnote w:id="31">
    <w:p w:rsidR="000149AC" w:rsidRPr="008D562E" w:rsidRDefault="000149AC" w:rsidP="000149AC">
      <w:pPr>
        <w:pStyle w:val="FootnoteText"/>
        <w:ind w:firstLine="720"/>
      </w:pPr>
      <w:r w:rsidRPr="008D562E">
        <w:rPr>
          <w:rStyle w:val="FootnoteReference"/>
        </w:rPr>
        <w:footnoteRef/>
      </w:r>
      <w:r w:rsidRPr="008D562E">
        <w:t xml:space="preserve"> Henry, </w:t>
      </w:r>
      <w:r w:rsidRPr="008D562E">
        <w:rPr>
          <w:i/>
        </w:rPr>
        <w:t xml:space="preserve">Mozart the Freemason, </w:t>
      </w:r>
      <w:r w:rsidRPr="008D562E">
        <w:t>39.</w:t>
      </w:r>
    </w:p>
  </w:footnote>
  <w:footnote w:id="32">
    <w:p w:rsidR="000149AC" w:rsidRPr="008D562E" w:rsidRDefault="000149AC" w:rsidP="000149AC">
      <w:pPr>
        <w:pStyle w:val="FootnoteText"/>
        <w:ind w:firstLine="720"/>
        <w:rPr>
          <w:i/>
        </w:rPr>
      </w:pPr>
      <w:r w:rsidRPr="008D562E">
        <w:rPr>
          <w:rStyle w:val="FootnoteReference"/>
        </w:rPr>
        <w:footnoteRef/>
      </w:r>
      <w:r w:rsidRPr="008D562E">
        <w:t xml:space="preserve"> Ibid</w:t>
      </w:r>
      <w:proofErr w:type="gramStart"/>
      <w:r w:rsidRPr="008D562E">
        <w:t>.</w:t>
      </w:r>
      <w:r w:rsidRPr="008D562E">
        <w:rPr>
          <w:i/>
        </w:rPr>
        <w:t>,</w:t>
      </w:r>
      <w:proofErr w:type="gramEnd"/>
      <w:r w:rsidRPr="008D562E">
        <w:rPr>
          <w:i/>
        </w:rPr>
        <w:t xml:space="preserve"> </w:t>
      </w:r>
      <w:r w:rsidRPr="00F54BD5">
        <w:t>40</w:t>
      </w:r>
      <w:r w:rsidRPr="008D562E">
        <w:rPr>
          <w:i/>
        </w:rPr>
        <w:t>.</w:t>
      </w:r>
    </w:p>
  </w:footnote>
  <w:footnote w:id="33">
    <w:p w:rsidR="000149AC" w:rsidRDefault="000149AC" w:rsidP="000149AC">
      <w:pPr>
        <w:pStyle w:val="FootnoteText"/>
        <w:ind w:firstLine="720"/>
      </w:pPr>
      <w:r>
        <w:rPr>
          <w:rStyle w:val="FootnoteReference"/>
        </w:rPr>
        <w:footnoteRef/>
      </w:r>
      <w:r>
        <w:t xml:space="preserve"> Ibid</w:t>
      </w:r>
      <w:proofErr w:type="gramStart"/>
      <w:r>
        <w:t>.,</w:t>
      </w:r>
      <w:proofErr w:type="gramEnd"/>
      <w:r>
        <w:t xml:space="preserve"> 39-40.</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39D3"/>
    <w:multiLevelType w:val="hybridMultilevel"/>
    <w:tmpl w:val="12B4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893315"/>
    <w:multiLevelType w:val="hybridMultilevel"/>
    <w:tmpl w:val="BE266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9AC"/>
    <w:rsid w:val="000149AC"/>
    <w:rsid w:val="0010388F"/>
    <w:rsid w:val="003A667B"/>
    <w:rsid w:val="006507DC"/>
    <w:rsid w:val="008228C7"/>
    <w:rsid w:val="00F3500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BB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9AC"/>
    <w:rPr>
      <w:rFonts w:ascii="Times New Roman" w:eastAsia="Cambria"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0149AC"/>
  </w:style>
  <w:style w:type="character" w:customStyle="1" w:styleId="FootnoteTextChar">
    <w:name w:val="Footnote Text Char"/>
    <w:basedOn w:val="DefaultParagraphFont"/>
    <w:link w:val="FootnoteText"/>
    <w:rsid w:val="000149AC"/>
    <w:rPr>
      <w:rFonts w:ascii="Times New Roman" w:eastAsia="Cambria" w:hAnsi="Times New Roman" w:cs="Times New Roman"/>
      <w:lang w:eastAsia="en-US"/>
    </w:rPr>
  </w:style>
  <w:style w:type="character" w:styleId="FootnoteReference">
    <w:name w:val="footnote reference"/>
    <w:basedOn w:val="DefaultParagraphFont"/>
    <w:rsid w:val="000149AC"/>
    <w:rPr>
      <w:vertAlign w:val="superscript"/>
    </w:rPr>
  </w:style>
  <w:style w:type="paragraph" w:styleId="ListParagraph">
    <w:name w:val="List Paragraph"/>
    <w:basedOn w:val="Normal"/>
    <w:rsid w:val="000149AC"/>
    <w:pPr>
      <w:ind w:left="720"/>
      <w:contextualSpacing/>
    </w:pPr>
  </w:style>
  <w:style w:type="paragraph" w:styleId="Caption">
    <w:name w:val="caption"/>
    <w:basedOn w:val="Normal"/>
    <w:next w:val="Normal"/>
    <w:rsid w:val="000149AC"/>
    <w:pPr>
      <w:spacing w:after="200"/>
    </w:pPr>
    <w:rPr>
      <w:b/>
      <w:bCs/>
      <w:color w:val="4F81BD"/>
      <w:sz w:val="18"/>
      <w:szCs w:val="18"/>
    </w:rPr>
  </w:style>
  <w:style w:type="paragraph" w:styleId="BalloonText">
    <w:name w:val="Balloon Text"/>
    <w:basedOn w:val="Normal"/>
    <w:link w:val="BalloonTextChar"/>
    <w:uiPriority w:val="99"/>
    <w:semiHidden/>
    <w:unhideWhenUsed/>
    <w:rsid w:val="000149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49AC"/>
    <w:rPr>
      <w:rFonts w:ascii="Lucida Grande" w:eastAsia="Cambria"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9AC"/>
    <w:rPr>
      <w:rFonts w:ascii="Times New Roman" w:eastAsia="Cambria"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0149AC"/>
  </w:style>
  <w:style w:type="character" w:customStyle="1" w:styleId="FootnoteTextChar">
    <w:name w:val="Footnote Text Char"/>
    <w:basedOn w:val="DefaultParagraphFont"/>
    <w:link w:val="FootnoteText"/>
    <w:rsid w:val="000149AC"/>
    <w:rPr>
      <w:rFonts w:ascii="Times New Roman" w:eastAsia="Cambria" w:hAnsi="Times New Roman" w:cs="Times New Roman"/>
      <w:lang w:eastAsia="en-US"/>
    </w:rPr>
  </w:style>
  <w:style w:type="character" w:styleId="FootnoteReference">
    <w:name w:val="footnote reference"/>
    <w:basedOn w:val="DefaultParagraphFont"/>
    <w:rsid w:val="000149AC"/>
    <w:rPr>
      <w:vertAlign w:val="superscript"/>
    </w:rPr>
  </w:style>
  <w:style w:type="paragraph" w:styleId="ListParagraph">
    <w:name w:val="List Paragraph"/>
    <w:basedOn w:val="Normal"/>
    <w:rsid w:val="000149AC"/>
    <w:pPr>
      <w:ind w:left="720"/>
      <w:contextualSpacing/>
    </w:pPr>
  </w:style>
  <w:style w:type="paragraph" w:styleId="Caption">
    <w:name w:val="caption"/>
    <w:basedOn w:val="Normal"/>
    <w:next w:val="Normal"/>
    <w:rsid w:val="000149AC"/>
    <w:pPr>
      <w:spacing w:after="200"/>
    </w:pPr>
    <w:rPr>
      <w:b/>
      <w:bCs/>
      <w:color w:val="4F81BD"/>
      <w:sz w:val="18"/>
      <w:szCs w:val="18"/>
    </w:rPr>
  </w:style>
  <w:style w:type="paragraph" w:styleId="BalloonText">
    <w:name w:val="Balloon Text"/>
    <w:basedOn w:val="Normal"/>
    <w:link w:val="BalloonTextChar"/>
    <w:uiPriority w:val="99"/>
    <w:semiHidden/>
    <w:unhideWhenUsed/>
    <w:rsid w:val="000149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49AC"/>
    <w:rPr>
      <w:rFonts w:ascii="Lucida Grande" w:eastAsia="Cambria"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1316</Words>
  <Characters>7507</Characters>
  <Application>Microsoft Macintosh Word</Application>
  <DocSecurity>0</DocSecurity>
  <Lines>62</Lines>
  <Paragraphs>17</Paragraphs>
  <ScaleCrop>false</ScaleCrop>
  <Company/>
  <LinksUpToDate>false</LinksUpToDate>
  <CharactersWithSpaces>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Northover</dc:creator>
  <cp:keywords/>
  <dc:description/>
  <cp:lastModifiedBy>Keith Northover</cp:lastModifiedBy>
  <cp:revision>1</cp:revision>
  <dcterms:created xsi:type="dcterms:W3CDTF">2015-04-27T06:54:00Z</dcterms:created>
  <dcterms:modified xsi:type="dcterms:W3CDTF">2015-04-27T06:58:00Z</dcterms:modified>
</cp:coreProperties>
</file>